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C1" w:rsidRPr="00CE54A1" w:rsidRDefault="00C25CC1" w:rsidP="00C25CC1">
      <w:pPr>
        <w:tabs>
          <w:tab w:val="left" w:pos="5355"/>
        </w:tabs>
        <w:autoSpaceDE w:val="0"/>
        <w:autoSpaceDN w:val="0"/>
        <w:adjustRightInd w:val="0"/>
        <w:spacing w:after="0" w:line="240" w:lineRule="auto"/>
        <w:ind w:left="360" w:hanging="360"/>
        <w:jc w:val="center"/>
        <w:outlineLvl w:val="1"/>
        <w:rPr>
          <w:rFonts w:ascii="Cambria" w:eastAsia="Calibri" w:hAnsi="Cambria" w:cs="Cambria"/>
          <w:b/>
          <w:bCs/>
          <w:iCs/>
          <w:smallCaps/>
          <w:color w:val="678492"/>
          <w:sz w:val="28"/>
          <w:szCs w:val="28"/>
        </w:rPr>
      </w:pPr>
      <w:bookmarkStart w:id="0" w:name="_Toc36373172"/>
      <w:bookmarkStart w:id="1" w:name="_Toc231965315"/>
      <w:bookmarkStart w:id="2" w:name="_Toc232566510"/>
      <w:bookmarkStart w:id="3" w:name="_Toc432488221"/>
      <w:bookmarkStart w:id="4" w:name="_GoBack"/>
      <w:bookmarkEnd w:id="4"/>
      <w:r w:rsidRPr="00C25CC1">
        <w:rPr>
          <w:rFonts w:ascii="Cambria" w:eastAsia="Calibri" w:hAnsi="Cambria" w:cs="Cambria"/>
          <w:b/>
          <w:bCs/>
          <w:iCs/>
          <w:smallCaps/>
          <w:color w:val="678492"/>
          <w:sz w:val="28"/>
          <w:szCs w:val="28"/>
        </w:rPr>
        <w:t>Programme </w:t>
      </w:r>
      <w:bookmarkEnd w:id="0"/>
      <w:r w:rsidRPr="00C25CC1">
        <w:rPr>
          <w:rFonts w:ascii="Cambria" w:eastAsia="Calibri" w:hAnsi="Cambria" w:cs="Cambria"/>
          <w:b/>
          <w:bCs/>
          <w:iCs/>
          <w:smallCaps/>
          <w:color w:val="678492"/>
          <w:sz w:val="28"/>
          <w:szCs w:val="28"/>
        </w:rPr>
        <w:t>Soutien à l’entrepreneuriat (SE)</w:t>
      </w:r>
      <w:bookmarkEnd w:id="1"/>
      <w:bookmarkEnd w:id="2"/>
      <w:bookmarkEnd w:id="3"/>
    </w:p>
    <w:p w:rsidR="00C25CC1" w:rsidRPr="006630A5" w:rsidRDefault="00C25CC1" w:rsidP="00C25CC1">
      <w:pPr>
        <w:tabs>
          <w:tab w:val="left" w:pos="5355"/>
        </w:tabs>
        <w:autoSpaceDE w:val="0"/>
        <w:autoSpaceDN w:val="0"/>
        <w:adjustRightInd w:val="0"/>
        <w:spacing w:after="0" w:line="240" w:lineRule="auto"/>
        <w:ind w:left="360" w:hanging="360"/>
        <w:jc w:val="center"/>
        <w:outlineLvl w:val="1"/>
        <w:rPr>
          <w:rFonts w:ascii="Cambria" w:eastAsia="Calibri" w:hAnsi="Cambria" w:cs="Cambria"/>
          <w:b/>
          <w:bCs/>
          <w:iCs/>
          <w:smallCaps/>
          <w:color w:val="678492"/>
          <w:sz w:val="10"/>
          <w:szCs w:val="10"/>
        </w:rPr>
      </w:pPr>
    </w:p>
    <w:p w:rsidR="00B84996" w:rsidRPr="00F17779" w:rsidRDefault="00B84996" w:rsidP="00BF71E1">
      <w:pPr>
        <w:spacing w:after="0" w:line="240" w:lineRule="auto"/>
        <w:jc w:val="both"/>
        <w:rPr>
          <w:sz w:val="20"/>
          <w:szCs w:val="20"/>
        </w:rPr>
      </w:pPr>
      <w:r w:rsidRPr="00F17779">
        <w:rPr>
          <w:sz w:val="20"/>
          <w:szCs w:val="20"/>
        </w:rPr>
        <w:t>Ce programme vise à aider les entreprises privées ou les entreprises d’économie sociale (OBNL ou COOP) en leur offrant un support financier. Ce programme est réparti en deux volets, soit un volet subvention et un volet prêt.</w:t>
      </w:r>
    </w:p>
    <w:p w:rsidR="00AD14C2" w:rsidRPr="00C27967" w:rsidRDefault="00AD14C2" w:rsidP="00BF71E1">
      <w:pPr>
        <w:spacing w:after="0" w:line="240" w:lineRule="auto"/>
        <w:jc w:val="both"/>
        <w:rPr>
          <w:sz w:val="10"/>
          <w:szCs w:val="10"/>
        </w:rPr>
      </w:pPr>
    </w:p>
    <w:tbl>
      <w:tblPr>
        <w:tblStyle w:val="Grilledutableau"/>
        <w:tblW w:w="0" w:type="auto"/>
        <w:tblLook w:val="04A0" w:firstRow="1" w:lastRow="0" w:firstColumn="1" w:lastColumn="0" w:noHBand="0" w:noVBand="1"/>
      </w:tblPr>
      <w:tblGrid>
        <w:gridCol w:w="675"/>
        <w:gridCol w:w="8105"/>
      </w:tblGrid>
      <w:tr w:rsidR="00C25CC1" w:rsidRPr="00F17779" w:rsidTr="006450F9">
        <w:tc>
          <w:tcPr>
            <w:tcW w:w="8780" w:type="dxa"/>
            <w:gridSpan w:val="2"/>
            <w:shd w:val="clear" w:color="auto" w:fill="DAEEF3" w:themeFill="accent5" w:themeFillTint="33"/>
          </w:tcPr>
          <w:p w:rsidR="00C25CC1" w:rsidRPr="00F17779" w:rsidRDefault="00AD14C2" w:rsidP="00C25CC1">
            <w:pPr>
              <w:jc w:val="center"/>
              <w:rPr>
                <w:b/>
                <w:sz w:val="20"/>
                <w:szCs w:val="20"/>
              </w:rPr>
            </w:pPr>
            <w:r w:rsidRPr="00F17779">
              <w:rPr>
                <w:b/>
                <w:sz w:val="20"/>
                <w:szCs w:val="20"/>
              </w:rPr>
              <w:t>Critères obligatoires aux</w:t>
            </w:r>
            <w:r w:rsidR="00C25CC1" w:rsidRPr="00F17779">
              <w:rPr>
                <w:b/>
                <w:sz w:val="20"/>
                <w:szCs w:val="20"/>
              </w:rPr>
              <w:t xml:space="preserve"> deux volets : subvention et prêt</w:t>
            </w:r>
          </w:p>
        </w:tc>
      </w:tr>
      <w:tr w:rsidR="00B84996" w:rsidRPr="00F17779" w:rsidTr="00F17779">
        <w:tc>
          <w:tcPr>
            <w:tcW w:w="675" w:type="dxa"/>
          </w:tcPr>
          <w:p w:rsidR="00B84996" w:rsidRPr="00F17779" w:rsidRDefault="00B84996">
            <w:pPr>
              <w:rPr>
                <w:sz w:val="20"/>
                <w:szCs w:val="20"/>
              </w:rPr>
            </w:pPr>
          </w:p>
        </w:tc>
        <w:tc>
          <w:tcPr>
            <w:tcW w:w="8105" w:type="dxa"/>
          </w:tcPr>
          <w:p w:rsidR="00B84996" w:rsidRPr="00F17779" w:rsidRDefault="00B84996" w:rsidP="00B84996">
            <w:pPr>
              <w:jc w:val="both"/>
              <w:rPr>
                <w:bCs/>
                <w:iCs/>
                <w:sz w:val="20"/>
                <w:szCs w:val="20"/>
              </w:rPr>
            </w:pPr>
            <w:r w:rsidRPr="00F17779">
              <w:rPr>
                <w:bCs/>
                <w:iCs/>
                <w:sz w:val="20"/>
                <w:szCs w:val="20"/>
              </w:rPr>
              <w:t>Création ou maintien d’emploi à temps plein (chaque emploi représente 30 heures de travail  par</w:t>
            </w:r>
            <w:r w:rsidR="00AD6854">
              <w:rPr>
                <w:bCs/>
                <w:iCs/>
                <w:sz w:val="20"/>
                <w:szCs w:val="20"/>
              </w:rPr>
              <w:t xml:space="preserve"> semaine). L’emploi de l’entrepreneur</w:t>
            </w:r>
            <w:r w:rsidRPr="00F17779">
              <w:rPr>
                <w:bCs/>
                <w:iCs/>
                <w:sz w:val="20"/>
                <w:szCs w:val="20"/>
              </w:rPr>
              <w:t xml:space="preserve"> est considéré</w:t>
            </w:r>
            <w:r w:rsidR="00BA6419" w:rsidRPr="00F17779">
              <w:rPr>
                <w:bCs/>
                <w:iCs/>
                <w:sz w:val="20"/>
                <w:szCs w:val="20"/>
              </w:rPr>
              <w:t>.</w:t>
            </w:r>
          </w:p>
        </w:tc>
      </w:tr>
      <w:tr w:rsidR="00B84996" w:rsidRPr="00F17779" w:rsidTr="00F17779">
        <w:tc>
          <w:tcPr>
            <w:tcW w:w="675" w:type="dxa"/>
          </w:tcPr>
          <w:p w:rsidR="00B84996" w:rsidRPr="00F17779" w:rsidRDefault="00B84996">
            <w:pPr>
              <w:rPr>
                <w:sz w:val="20"/>
                <w:szCs w:val="20"/>
              </w:rPr>
            </w:pPr>
          </w:p>
        </w:tc>
        <w:tc>
          <w:tcPr>
            <w:tcW w:w="8105" w:type="dxa"/>
          </w:tcPr>
          <w:p w:rsidR="00B84996" w:rsidRPr="00F17779" w:rsidRDefault="00B84996" w:rsidP="00B84996">
            <w:pPr>
              <w:jc w:val="both"/>
              <w:rPr>
                <w:bCs/>
                <w:iCs/>
                <w:sz w:val="20"/>
                <w:szCs w:val="20"/>
              </w:rPr>
            </w:pPr>
            <w:r w:rsidRPr="00F17779">
              <w:rPr>
                <w:bCs/>
                <w:iCs/>
                <w:sz w:val="20"/>
                <w:szCs w:val="20"/>
              </w:rPr>
              <w:t xml:space="preserve">Pour les projets d’économie sociale, l’entreprise doit s’autofinancer à </w:t>
            </w:r>
            <w:r w:rsidR="00BA6419" w:rsidRPr="00F17779">
              <w:rPr>
                <w:bCs/>
                <w:iCs/>
                <w:sz w:val="20"/>
                <w:szCs w:val="20"/>
              </w:rPr>
              <w:t>50 % avec des revenus autonomes.</w:t>
            </w:r>
          </w:p>
        </w:tc>
      </w:tr>
      <w:tr w:rsidR="00B84996" w:rsidRPr="00F17779" w:rsidTr="00F17779">
        <w:tc>
          <w:tcPr>
            <w:tcW w:w="675" w:type="dxa"/>
          </w:tcPr>
          <w:p w:rsidR="00B84996" w:rsidRPr="00F17779" w:rsidRDefault="00B84996">
            <w:pPr>
              <w:rPr>
                <w:sz w:val="20"/>
                <w:szCs w:val="20"/>
              </w:rPr>
            </w:pPr>
          </w:p>
        </w:tc>
        <w:tc>
          <w:tcPr>
            <w:tcW w:w="8105" w:type="dxa"/>
          </w:tcPr>
          <w:p w:rsidR="00B84996" w:rsidRPr="00F17779" w:rsidRDefault="00B84996" w:rsidP="00B84996">
            <w:pPr>
              <w:jc w:val="both"/>
              <w:rPr>
                <w:bCs/>
                <w:iCs/>
                <w:sz w:val="20"/>
                <w:szCs w:val="20"/>
              </w:rPr>
            </w:pPr>
            <w:r w:rsidRPr="00F17779">
              <w:rPr>
                <w:bCs/>
                <w:iCs/>
                <w:sz w:val="20"/>
                <w:szCs w:val="20"/>
              </w:rPr>
              <w:t>Les aides financières combinées du gouvernement provincial, fédéral et de la MRC ne pourront excéde</w:t>
            </w:r>
            <w:r w:rsidR="00BA6419" w:rsidRPr="00F17779">
              <w:rPr>
                <w:bCs/>
                <w:iCs/>
                <w:sz w:val="20"/>
                <w:szCs w:val="20"/>
              </w:rPr>
              <w:t>r 80 % des dépenses admissibles.</w:t>
            </w:r>
          </w:p>
        </w:tc>
      </w:tr>
      <w:tr w:rsidR="00B84996" w:rsidRPr="00F17779" w:rsidTr="00F17779">
        <w:tc>
          <w:tcPr>
            <w:tcW w:w="675" w:type="dxa"/>
          </w:tcPr>
          <w:p w:rsidR="00B84996" w:rsidRPr="00F17779" w:rsidRDefault="00B84996">
            <w:pPr>
              <w:rPr>
                <w:sz w:val="20"/>
                <w:szCs w:val="20"/>
              </w:rPr>
            </w:pPr>
          </w:p>
        </w:tc>
        <w:tc>
          <w:tcPr>
            <w:tcW w:w="8105" w:type="dxa"/>
          </w:tcPr>
          <w:p w:rsidR="00B84996" w:rsidRPr="00F17779" w:rsidRDefault="00AD6854" w:rsidP="00B84996">
            <w:pPr>
              <w:jc w:val="both"/>
              <w:rPr>
                <w:bCs/>
                <w:iCs/>
                <w:sz w:val="20"/>
                <w:szCs w:val="20"/>
              </w:rPr>
            </w:pPr>
            <w:r>
              <w:rPr>
                <w:bCs/>
                <w:iCs/>
                <w:sz w:val="20"/>
                <w:szCs w:val="20"/>
              </w:rPr>
              <w:t>Dans le cas d’une acquisition/relève, l‘un des entrepreneurs</w:t>
            </w:r>
            <w:r w:rsidR="00B84996" w:rsidRPr="00F17779">
              <w:rPr>
                <w:bCs/>
                <w:iCs/>
                <w:sz w:val="20"/>
                <w:szCs w:val="20"/>
              </w:rPr>
              <w:t xml:space="preserve"> doit posséder au moins 25 % des parts de l’entreprise.</w:t>
            </w:r>
          </w:p>
        </w:tc>
      </w:tr>
    </w:tbl>
    <w:p w:rsidR="00B84996" w:rsidRPr="00F17779" w:rsidRDefault="00B84996" w:rsidP="00C27967">
      <w:pPr>
        <w:spacing w:after="0" w:line="240" w:lineRule="auto"/>
        <w:rPr>
          <w:sz w:val="16"/>
          <w:szCs w:val="16"/>
        </w:rPr>
      </w:pPr>
    </w:p>
    <w:p w:rsidR="002A3777" w:rsidRPr="002F539D" w:rsidRDefault="002F539D" w:rsidP="002F539D">
      <w:pPr>
        <w:tabs>
          <w:tab w:val="left" w:pos="5355"/>
        </w:tabs>
        <w:autoSpaceDE w:val="0"/>
        <w:autoSpaceDN w:val="0"/>
        <w:adjustRightInd w:val="0"/>
        <w:spacing w:after="0" w:line="240" w:lineRule="auto"/>
        <w:ind w:left="360" w:hanging="360"/>
        <w:jc w:val="center"/>
        <w:outlineLvl w:val="1"/>
        <w:rPr>
          <w:rFonts w:ascii="Cambria" w:eastAsia="Calibri" w:hAnsi="Cambria" w:cs="Cambria"/>
          <w:b/>
          <w:bCs/>
          <w:iCs/>
          <w:smallCaps/>
          <w:color w:val="678492"/>
          <w:sz w:val="28"/>
          <w:szCs w:val="28"/>
        </w:rPr>
      </w:pPr>
      <w:r>
        <w:rPr>
          <w:rFonts w:ascii="Cambria" w:eastAsia="Calibri" w:hAnsi="Cambria" w:cs="Cambria"/>
          <w:b/>
          <w:bCs/>
          <w:iCs/>
          <w:smallCaps/>
          <w:color w:val="678492"/>
          <w:sz w:val="28"/>
          <w:szCs w:val="28"/>
        </w:rPr>
        <w:t>volet subvention :</w:t>
      </w:r>
    </w:p>
    <w:tbl>
      <w:tblPr>
        <w:tblStyle w:val="Grilledutableau"/>
        <w:tblW w:w="8780" w:type="dxa"/>
        <w:tblLook w:val="04A0" w:firstRow="1" w:lastRow="0" w:firstColumn="1" w:lastColumn="0" w:noHBand="0" w:noVBand="1"/>
      </w:tblPr>
      <w:tblGrid>
        <w:gridCol w:w="4390"/>
        <w:gridCol w:w="4390"/>
      </w:tblGrid>
      <w:tr w:rsidR="00C25CC1" w:rsidRPr="00F17779" w:rsidTr="006450F9">
        <w:tc>
          <w:tcPr>
            <w:tcW w:w="4390" w:type="dxa"/>
            <w:shd w:val="clear" w:color="auto" w:fill="DAEEF3" w:themeFill="accent5" w:themeFillTint="33"/>
          </w:tcPr>
          <w:p w:rsidR="00AD14C2" w:rsidRPr="00F17779" w:rsidRDefault="00C25CC1" w:rsidP="009A221C">
            <w:pPr>
              <w:jc w:val="center"/>
              <w:rPr>
                <w:b/>
                <w:sz w:val="20"/>
                <w:szCs w:val="20"/>
                <w:lang w:eastAsia="fr-FR"/>
              </w:rPr>
            </w:pPr>
            <w:r w:rsidRPr="00F17779">
              <w:rPr>
                <w:b/>
                <w:sz w:val="20"/>
                <w:szCs w:val="20"/>
                <w:lang w:eastAsia="fr-FR"/>
              </w:rPr>
              <w:t xml:space="preserve">Création ou maintien d’emploi à temps plein </w:t>
            </w:r>
          </w:p>
          <w:p w:rsidR="00C25CC1" w:rsidRPr="00F17779" w:rsidRDefault="00C25CC1" w:rsidP="009A221C">
            <w:pPr>
              <w:jc w:val="center"/>
              <w:rPr>
                <w:b/>
                <w:sz w:val="20"/>
                <w:szCs w:val="20"/>
                <w:lang w:eastAsia="fr-FR"/>
              </w:rPr>
            </w:pPr>
            <w:r w:rsidRPr="00F17779">
              <w:rPr>
                <w:b/>
                <w:sz w:val="20"/>
                <w:szCs w:val="20"/>
                <w:lang w:eastAsia="fr-FR"/>
              </w:rPr>
              <w:t>(30 heures par semaine)</w:t>
            </w:r>
          </w:p>
        </w:tc>
        <w:tc>
          <w:tcPr>
            <w:tcW w:w="4390" w:type="dxa"/>
            <w:shd w:val="clear" w:color="auto" w:fill="DAEEF3" w:themeFill="accent5" w:themeFillTint="33"/>
          </w:tcPr>
          <w:p w:rsidR="00C25CC1" w:rsidRPr="00F17779" w:rsidRDefault="00C25CC1" w:rsidP="009A221C">
            <w:pPr>
              <w:jc w:val="center"/>
              <w:rPr>
                <w:b/>
                <w:sz w:val="20"/>
                <w:szCs w:val="20"/>
                <w:lang w:eastAsia="fr-FR"/>
              </w:rPr>
            </w:pPr>
            <w:r w:rsidRPr="00F17779">
              <w:rPr>
                <w:b/>
                <w:sz w:val="20"/>
                <w:szCs w:val="20"/>
                <w:lang w:eastAsia="fr-FR"/>
              </w:rPr>
              <w:t>Subvention</w:t>
            </w:r>
          </w:p>
        </w:tc>
      </w:tr>
      <w:tr w:rsidR="00C25CC1" w:rsidRPr="00F17779" w:rsidTr="00C25CC1">
        <w:tc>
          <w:tcPr>
            <w:tcW w:w="4390" w:type="dxa"/>
          </w:tcPr>
          <w:p w:rsidR="00C25CC1" w:rsidRPr="00F17779" w:rsidRDefault="00C25CC1" w:rsidP="009A221C">
            <w:pPr>
              <w:jc w:val="center"/>
              <w:rPr>
                <w:rFonts w:cs="Arial"/>
                <w:bCs/>
                <w:sz w:val="20"/>
                <w:szCs w:val="20"/>
              </w:rPr>
            </w:pPr>
            <w:r w:rsidRPr="00F17779">
              <w:rPr>
                <w:rFonts w:cs="Arial"/>
                <w:bCs/>
                <w:sz w:val="20"/>
                <w:szCs w:val="20"/>
              </w:rPr>
              <w:t>1-2 emploi</w:t>
            </w:r>
            <w:r w:rsidR="00926C53">
              <w:rPr>
                <w:rFonts w:cs="Arial"/>
                <w:bCs/>
                <w:sz w:val="20"/>
                <w:szCs w:val="20"/>
              </w:rPr>
              <w:t>s</w:t>
            </w:r>
          </w:p>
        </w:tc>
        <w:tc>
          <w:tcPr>
            <w:tcW w:w="4390" w:type="dxa"/>
          </w:tcPr>
          <w:p w:rsidR="00C25CC1" w:rsidRPr="00F17779" w:rsidRDefault="00C25CC1" w:rsidP="009A221C">
            <w:pPr>
              <w:jc w:val="center"/>
              <w:rPr>
                <w:rFonts w:cs="Arial"/>
                <w:bCs/>
                <w:sz w:val="20"/>
                <w:szCs w:val="20"/>
              </w:rPr>
            </w:pPr>
            <w:r w:rsidRPr="00F17779">
              <w:rPr>
                <w:rFonts w:cs="Arial"/>
                <w:bCs/>
                <w:sz w:val="20"/>
                <w:szCs w:val="20"/>
              </w:rPr>
              <w:t>3 000 $</w:t>
            </w:r>
          </w:p>
        </w:tc>
      </w:tr>
      <w:tr w:rsidR="00C25CC1" w:rsidRPr="00F17779" w:rsidTr="00C25CC1">
        <w:tc>
          <w:tcPr>
            <w:tcW w:w="4390" w:type="dxa"/>
          </w:tcPr>
          <w:p w:rsidR="00C25CC1" w:rsidRPr="00F17779" w:rsidRDefault="00C25CC1" w:rsidP="009A221C">
            <w:pPr>
              <w:jc w:val="center"/>
              <w:rPr>
                <w:rFonts w:cs="Arial"/>
                <w:bCs/>
                <w:sz w:val="20"/>
                <w:szCs w:val="20"/>
              </w:rPr>
            </w:pPr>
            <w:r w:rsidRPr="00F17779">
              <w:rPr>
                <w:rFonts w:cs="Arial"/>
                <w:bCs/>
                <w:sz w:val="20"/>
                <w:szCs w:val="20"/>
              </w:rPr>
              <w:t>3-4 emplois</w:t>
            </w:r>
          </w:p>
        </w:tc>
        <w:tc>
          <w:tcPr>
            <w:tcW w:w="4390" w:type="dxa"/>
          </w:tcPr>
          <w:p w:rsidR="00C25CC1" w:rsidRPr="00F17779" w:rsidRDefault="00C25CC1" w:rsidP="009A221C">
            <w:pPr>
              <w:jc w:val="center"/>
              <w:rPr>
                <w:rFonts w:cs="Arial"/>
                <w:bCs/>
                <w:sz w:val="20"/>
                <w:szCs w:val="20"/>
              </w:rPr>
            </w:pPr>
            <w:r w:rsidRPr="00F17779">
              <w:rPr>
                <w:rFonts w:cs="Arial"/>
                <w:bCs/>
                <w:sz w:val="20"/>
                <w:szCs w:val="20"/>
              </w:rPr>
              <w:t>5 000 $</w:t>
            </w:r>
          </w:p>
        </w:tc>
      </w:tr>
      <w:tr w:rsidR="00C25CC1" w:rsidRPr="00F17779" w:rsidTr="00C25CC1">
        <w:tc>
          <w:tcPr>
            <w:tcW w:w="4390" w:type="dxa"/>
          </w:tcPr>
          <w:p w:rsidR="00C25CC1" w:rsidRPr="00F17779" w:rsidRDefault="00C25CC1" w:rsidP="009A221C">
            <w:pPr>
              <w:jc w:val="center"/>
              <w:rPr>
                <w:rFonts w:cs="Arial"/>
                <w:bCs/>
                <w:sz w:val="20"/>
                <w:szCs w:val="20"/>
              </w:rPr>
            </w:pPr>
            <w:r w:rsidRPr="00F17779">
              <w:rPr>
                <w:rFonts w:cs="Arial"/>
                <w:bCs/>
                <w:sz w:val="20"/>
                <w:szCs w:val="20"/>
              </w:rPr>
              <w:t>5-6 emplois</w:t>
            </w:r>
          </w:p>
        </w:tc>
        <w:tc>
          <w:tcPr>
            <w:tcW w:w="4390" w:type="dxa"/>
          </w:tcPr>
          <w:p w:rsidR="00C25CC1" w:rsidRPr="00F17779" w:rsidRDefault="00C25CC1" w:rsidP="009A221C">
            <w:pPr>
              <w:jc w:val="center"/>
              <w:rPr>
                <w:rFonts w:cs="Arial"/>
                <w:bCs/>
                <w:sz w:val="20"/>
                <w:szCs w:val="20"/>
              </w:rPr>
            </w:pPr>
            <w:r w:rsidRPr="00F17779">
              <w:rPr>
                <w:rFonts w:cs="Arial"/>
                <w:bCs/>
                <w:sz w:val="20"/>
                <w:szCs w:val="20"/>
              </w:rPr>
              <w:t>7 000 $</w:t>
            </w:r>
          </w:p>
        </w:tc>
      </w:tr>
      <w:tr w:rsidR="00C25CC1" w:rsidRPr="00F17779" w:rsidTr="00C25CC1">
        <w:tc>
          <w:tcPr>
            <w:tcW w:w="4390" w:type="dxa"/>
          </w:tcPr>
          <w:p w:rsidR="00C25CC1" w:rsidRPr="00F17779" w:rsidRDefault="00C25CC1" w:rsidP="009A221C">
            <w:pPr>
              <w:jc w:val="center"/>
              <w:rPr>
                <w:rFonts w:cs="Arial"/>
                <w:bCs/>
                <w:sz w:val="20"/>
                <w:szCs w:val="20"/>
              </w:rPr>
            </w:pPr>
            <w:r w:rsidRPr="00F17779">
              <w:rPr>
                <w:rFonts w:cs="Arial"/>
                <w:bCs/>
                <w:sz w:val="20"/>
                <w:szCs w:val="20"/>
              </w:rPr>
              <w:t>7-9 emplois</w:t>
            </w:r>
          </w:p>
        </w:tc>
        <w:tc>
          <w:tcPr>
            <w:tcW w:w="4390" w:type="dxa"/>
          </w:tcPr>
          <w:p w:rsidR="00C25CC1" w:rsidRPr="00F17779" w:rsidRDefault="00C25CC1" w:rsidP="009A221C">
            <w:pPr>
              <w:jc w:val="center"/>
              <w:rPr>
                <w:rFonts w:cs="Arial"/>
                <w:bCs/>
                <w:sz w:val="20"/>
                <w:szCs w:val="20"/>
              </w:rPr>
            </w:pPr>
            <w:r w:rsidRPr="00F17779">
              <w:rPr>
                <w:rFonts w:cs="Arial"/>
                <w:bCs/>
                <w:sz w:val="20"/>
                <w:szCs w:val="20"/>
              </w:rPr>
              <w:t>9 000 $</w:t>
            </w:r>
          </w:p>
        </w:tc>
      </w:tr>
      <w:tr w:rsidR="00C25CC1" w:rsidRPr="00F17779" w:rsidTr="00C25CC1">
        <w:tc>
          <w:tcPr>
            <w:tcW w:w="4390" w:type="dxa"/>
          </w:tcPr>
          <w:p w:rsidR="00C25CC1" w:rsidRPr="00F17779" w:rsidRDefault="00C25CC1" w:rsidP="009A221C">
            <w:pPr>
              <w:jc w:val="center"/>
              <w:rPr>
                <w:rFonts w:cs="Arial"/>
                <w:bCs/>
                <w:sz w:val="20"/>
                <w:szCs w:val="20"/>
              </w:rPr>
            </w:pPr>
            <w:r w:rsidRPr="00F17779">
              <w:rPr>
                <w:rFonts w:cs="Arial"/>
                <w:bCs/>
                <w:sz w:val="20"/>
                <w:szCs w:val="20"/>
              </w:rPr>
              <w:t>10 emplois et plus</w:t>
            </w:r>
          </w:p>
        </w:tc>
        <w:tc>
          <w:tcPr>
            <w:tcW w:w="4390" w:type="dxa"/>
          </w:tcPr>
          <w:p w:rsidR="00C25CC1" w:rsidRPr="00F17779" w:rsidRDefault="00C25CC1" w:rsidP="009A221C">
            <w:pPr>
              <w:jc w:val="center"/>
              <w:rPr>
                <w:rFonts w:cs="Arial"/>
                <w:bCs/>
                <w:sz w:val="20"/>
                <w:szCs w:val="20"/>
              </w:rPr>
            </w:pPr>
            <w:r w:rsidRPr="00F17779">
              <w:rPr>
                <w:rFonts w:cs="Arial"/>
                <w:bCs/>
                <w:sz w:val="20"/>
                <w:szCs w:val="20"/>
              </w:rPr>
              <w:t>12 000 $</w:t>
            </w:r>
          </w:p>
        </w:tc>
      </w:tr>
    </w:tbl>
    <w:p w:rsidR="00B84996" w:rsidRPr="00F17779" w:rsidRDefault="00B84996" w:rsidP="00C25CC1">
      <w:pPr>
        <w:spacing w:after="0"/>
        <w:rPr>
          <w:sz w:val="16"/>
          <w:szCs w:val="16"/>
        </w:rPr>
      </w:pPr>
    </w:p>
    <w:tbl>
      <w:tblPr>
        <w:tblStyle w:val="Grilledutableau"/>
        <w:tblW w:w="0" w:type="auto"/>
        <w:tblLook w:val="04A0" w:firstRow="1" w:lastRow="0" w:firstColumn="1" w:lastColumn="0" w:noHBand="0" w:noVBand="1"/>
      </w:tblPr>
      <w:tblGrid>
        <w:gridCol w:w="675"/>
        <w:gridCol w:w="8105"/>
      </w:tblGrid>
      <w:tr w:rsidR="00C25CC1" w:rsidRPr="00F17779" w:rsidTr="006450F9">
        <w:tc>
          <w:tcPr>
            <w:tcW w:w="8780" w:type="dxa"/>
            <w:gridSpan w:val="2"/>
            <w:shd w:val="clear" w:color="auto" w:fill="DAEEF3" w:themeFill="accent5" w:themeFillTint="33"/>
          </w:tcPr>
          <w:p w:rsidR="00C25CC1" w:rsidRPr="00F17779" w:rsidRDefault="00C25CC1" w:rsidP="00C25CC1">
            <w:pPr>
              <w:jc w:val="center"/>
              <w:rPr>
                <w:b/>
                <w:sz w:val="20"/>
                <w:szCs w:val="20"/>
              </w:rPr>
            </w:pPr>
            <w:r w:rsidRPr="00F17779">
              <w:rPr>
                <w:b/>
                <w:sz w:val="20"/>
                <w:szCs w:val="20"/>
              </w:rPr>
              <w:t xml:space="preserve">Critères </w:t>
            </w:r>
            <w:r w:rsidR="001C53A5" w:rsidRPr="00F17779">
              <w:rPr>
                <w:b/>
                <w:sz w:val="20"/>
                <w:szCs w:val="20"/>
              </w:rPr>
              <w:t>spécifiques-</w:t>
            </w:r>
            <w:r w:rsidRPr="00F17779">
              <w:rPr>
                <w:b/>
                <w:sz w:val="20"/>
                <w:szCs w:val="20"/>
              </w:rPr>
              <w:t>volet subvention</w:t>
            </w:r>
          </w:p>
        </w:tc>
      </w:tr>
      <w:tr w:rsidR="00B84996" w:rsidRPr="00F17779" w:rsidTr="00F17779">
        <w:tc>
          <w:tcPr>
            <w:tcW w:w="675" w:type="dxa"/>
          </w:tcPr>
          <w:p w:rsidR="00B84996" w:rsidRPr="00F17779" w:rsidRDefault="00B84996" w:rsidP="009A221C">
            <w:pPr>
              <w:rPr>
                <w:sz w:val="20"/>
                <w:szCs w:val="20"/>
              </w:rPr>
            </w:pPr>
          </w:p>
        </w:tc>
        <w:tc>
          <w:tcPr>
            <w:tcW w:w="8105" w:type="dxa"/>
          </w:tcPr>
          <w:p w:rsidR="00B84996" w:rsidRPr="00F17779" w:rsidRDefault="00B84996" w:rsidP="00C25CC1">
            <w:pPr>
              <w:jc w:val="both"/>
              <w:rPr>
                <w:bCs/>
                <w:iCs/>
                <w:sz w:val="20"/>
                <w:szCs w:val="20"/>
              </w:rPr>
            </w:pPr>
            <w:r w:rsidRPr="00F17779">
              <w:rPr>
                <w:bCs/>
                <w:iCs/>
                <w:sz w:val="20"/>
                <w:szCs w:val="20"/>
              </w:rPr>
              <w:t xml:space="preserve">Être en situation de </w:t>
            </w:r>
            <w:r w:rsidRPr="00F17779">
              <w:rPr>
                <w:b/>
                <w:bCs/>
                <w:iCs/>
                <w:sz w:val="20"/>
                <w:szCs w:val="20"/>
              </w:rPr>
              <w:t>démarrage, acquisition</w:t>
            </w:r>
            <w:r w:rsidR="00AD6854">
              <w:rPr>
                <w:b/>
                <w:bCs/>
                <w:iCs/>
                <w:sz w:val="20"/>
                <w:szCs w:val="20"/>
              </w:rPr>
              <w:t>/relève</w:t>
            </w:r>
            <w:r w:rsidRPr="00F17779">
              <w:rPr>
                <w:b/>
                <w:bCs/>
                <w:iCs/>
                <w:sz w:val="20"/>
                <w:szCs w:val="20"/>
              </w:rPr>
              <w:t xml:space="preserve"> ou expansion</w:t>
            </w:r>
            <w:r w:rsidR="00AD6854">
              <w:rPr>
                <w:b/>
                <w:bCs/>
                <w:iCs/>
                <w:sz w:val="20"/>
                <w:szCs w:val="20"/>
              </w:rPr>
              <w:t>/modernisation</w:t>
            </w:r>
            <w:r w:rsidRPr="00F17779">
              <w:rPr>
                <w:b/>
                <w:bCs/>
                <w:iCs/>
                <w:sz w:val="20"/>
                <w:szCs w:val="20"/>
              </w:rPr>
              <w:t>.</w:t>
            </w:r>
            <w:r w:rsidRPr="00F17779">
              <w:rPr>
                <w:bCs/>
                <w:iCs/>
                <w:sz w:val="20"/>
                <w:szCs w:val="20"/>
              </w:rPr>
              <w:t xml:space="preserve"> Pour se qualifier aux phases acquisition</w:t>
            </w:r>
            <w:r w:rsidR="00AD6854">
              <w:rPr>
                <w:bCs/>
                <w:iCs/>
                <w:sz w:val="20"/>
                <w:szCs w:val="20"/>
              </w:rPr>
              <w:t>/relève</w:t>
            </w:r>
            <w:r w:rsidRPr="00F17779">
              <w:rPr>
                <w:bCs/>
                <w:iCs/>
                <w:sz w:val="20"/>
                <w:szCs w:val="20"/>
              </w:rPr>
              <w:t xml:space="preserve"> et expansion</w:t>
            </w:r>
            <w:r w:rsidR="00AD6854">
              <w:rPr>
                <w:bCs/>
                <w:iCs/>
                <w:sz w:val="20"/>
                <w:szCs w:val="20"/>
              </w:rPr>
              <w:t>/modernisation</w:t>
            </w:r>
            <w:r w:rsidRPr="00F17779">
              <w:rPr>
                <w:bCs/>
                <w:iCs/>
                <w:sz w:val="20"/>
                <w:szCs w:val="20"/>
              </w:rPr>
              <w:t>, l’entreprise doit posséder 2 années d’existence continues.</w:t>
            </w:r>
          </w:p>
        </w:tc>
      </w:tr>
      <w:tr w:rsidR="00B84996" w:rsidRPr="00F17779" w:rsidTr="00F17779">
        <w:tc>
          <w:tcPr>
            <w:tcW w:w="675" w:type="dxa"/>
          </w:tcPr>
          <w:p w:rsidR="00B84996" w:rsidRPr="00F17779" w:rsidRDefault="00B84996" w:rsidP="009A221C">
            <w:pPr>
              <w:rPr>
                <w:sz w:val="20"/>
                <w:szCs w:val="20"/>
              </w:rPr>
            </w:pPr>
          </w:p>
        </w:tc>
        <w:tc>
          <w:tcPr>
            <w:tcW w:w="8105" w:type="dxa"/>
          </w:tcPr>
          <w:p w:rsidR="00B84996" w:rsidRPr="00F17779" w:rsidRDefault="00991610" w:rsidP="00C25CC1">
            <w:pPr>
              <w:jc w:val="both"/>
              <w:rPr>
                <w:bCs/>
                <w:iCs/>
                <w:sz w:val="20"/>
                <w:szCs w:val="20"/>
              </w:rPr>
            </w:pPr>
            <w:r w:rsidRPr="00F17779">
              <w:rPr>
                <w:bCs/>
                <w:iCs/>
                <w:sz w:val="20"/>
                <w:szCs w:val="20"/>
              </w:rPr>
              <w:t xml:space="preserve">Faire une mise de fonds </w:t>
            </w:r>
            <w:r w:rsidR="00BF71E1" w:rsidRPr="00F17779">
              <w:rPr>
                <w:bCs/>
                <w:iCs/>
                <w:sz w:val="20"/>
                <w:szCs w:val="20"/>
              </w:rPr>
              <w:t>égale à la subvention</w:t>
            </w:r>
            <w:r w:rsidR="00C25CC1" w:rsidRPr="00F17779">
              <w:rPr>
                <w:bCs/>
                <w:iCs/>
                <w:sz w:val="20"/>
                <w:szCs w:val="20"/>
              </w:rPr>
              <w:t xml:space="preserve"> consentie par la MRC.</w:t>
            </w:r>
          </w:p>
        </w:tc>
      </w:tr>
      <w:tr w:rsidR="00B84996" w:rsidRPr="00F17779" w:rsidTr="00F17779">
        <w:trPr>
          <w:trHeight w:val="918"/>
        </w:trPr>
        <w:tc>
          <w:tcPr>
            <w:tcW w:w="675" w:type="dxa"/>
          </w:tcPr>
          <w:p w:rsidR="00B84996" w:rsidRPr="00F17779" w:rsidRDefault="00B84996" w:rsidP="009A221C">
            <w:pPr>
              <w:rPr>
                <w:sz w:val="20"/>
                <w:szCs w:val="20"/>
              </w:rPr>
            </w:pPr>
          </w:p>
        </w:tc>
        <w:tc>
          <w:tcPr>
            <w:tcW w:w="8105" w:type="dxa"/>
          </w:tcPr>
          <w:p w:rsidR="00B84996" w:rsidRPr="00F17779" w:rsidRDefault="00B84996" w:rsidP="00C25CC1">
            <w:pPr>
              <w:jc w:val="both"/>
              <w:rPr>
                <w:bCs/>
                <w:iCs/>
                <w:sz w:val="20"/>
                <w:szCs w:val="20"/>
              </w:rPr>
            </w:pPr>
            <w:r w:rsidRPr="00F17779">
              <w:rPr>
                <w:bCs/>
                <w:iCs/>
                <w:sz w:val="20"/>
                <w:szCs w:val="20"/>
              </w:rPr>
              <w:t>Les secteurs suivants ne sont pas admissibles </w:t>
            </w:r>
            <w:r w:rsidR="005010A9" w:rsidRPr="005010A9">
              <w:rPr>
                <w:b/>
                <w:bCs/>
                <w:iCs/>
                <w:sz w:val="20"/>
                <w:szCs w:val="20"/>
              </w:rPr>
              <w:t>(</w:t>
            </w:r>
            <w:r w:rsidRPr="00F17779">
              <w:rPr>
                <w:b/>
                <w:bCs/>
                <w:iCs/>
                <w:sz w:val="20"/>
                <w:szCs w:val="20"/>
              </w:rPr>
              <w:t>en phase démarrage seulement</w:t>
            </w:r>
            <w:r w:rsidR="005010A9">
              <w:rPr>
                <w:b/>
                <w:bCs/>
                <w:iCs/>
                <w:sz w:val="20"/>
                <w:szCs w:val="20"/>
              </w:rPr>
              <w:t>)</w:t>
            </w:r>
            <w:r w:rsidRPr="00F17779">
              <w:rPr>
                <w:bCs/>
                <w:iCs/>
                <w:sz w:val="20"/>
                <w:szCs w:val="20"/>
              </w:rPr>
              <w:t xml:space="preserve"> : les services reliés aux soins personnels (salon de coiffure, esthétique, massothérapie, etc.); les professions libérales traditionnelles (bureau d’avocats, notaires, firme de comptabilité, cabinet de médecin, dentiste, etc.), les services de tenue de l</w:t>
            </w:r>
            <w:r w:rsidR="00C25CC1" w:rsidRPr="00F17779">
              <w:rPr>
                <w:bCs/>
                <w:iCs/>
                <w:sz w:val="20"/>
                <w:szCs w:val="20"/>
              </w:rPr>
              <w:t>ivres, les services de garderie.</w:t>
            </w:r>
          </w:p>
        </w:tc>
      </w:tr>
      <w:tr w:rsidR="00B84996" w:rsidRPr="00F17779" w:rsidTr="00F17779">
        <w:tc>
          <w:tcPr>
            <w:tcW w:w="675" w:type="dxa"/>
          </w:tcPr>
          <w:p w:rsidR="00B84996" w:rsidRPr="00F17779" w:rsidRDefault="00B84996" w:rsidP="009A221C">
            <w:pPr>
              <w:rPr>
                <w:sz w:val="20"/>
                <w:szCs w:val="20"/>
              </w:rPr>
            </w:pPr>
          </w:p>
        </w:tc>
        <w:tc>
          <w:tcPr>
            <w:tcW w:w="8105" w:type="dxa"/>
          </w:tcPr>
          <w:p w:rsidR="00B84996" w:rsidRPr="00F17779" w:rsidRDefault="00142B8E" w:rsidP="00C25CC1">
            <w:pPr>
              <w:jc w:val="both"/>
              <w:rPr>
                <w:bCs/>
                <w:iCs/>
                <w:sz w:val="20"/>
                <w:szCs w:val="20"/>
              </w:rPr>
            </w:pPr>
            <w:r>
              <w:rPr>
                <w:bCs/>
                <w:iCs/>
                <w:sz w:val="20"/>
                <w:szCs w:val="20"/>
              </w:rPr>
              <w:t>Un entrepreneur</w:t>
            </w:r>
            <w:r w:rsidR="00B84996" w:rsidRPr="00F17779">
              <w:rPr>
                <w:bCs/>
                <w:iCs/>
                <w:sz w:val="20"/>
                <w:szCs w:val="20"/>
              </w:rPr>
              <w:t xml:space="preserve"> ou un</w:t>
            </w:r>
            <w:r w:rsidR="00BF71E1" w:rsidRPr="00F17779">
              <w:rPr>
                <w:bCs/>
                <w:iCs/>
                <w:sz w:val="20"/>
                <w:szCs w:val="20"/>
              </w:rPr>
              <w:t>e entreprise peut bénéficier du volet subvention</w:t>
            </w:r>
            <w:r w:rsidR="00B84996" w:rsidRPr="00F17779">
              <w:rPr>
                <w:bCs/>
                <w:iCs/>
                <w:sz w:val="20"/>
                <w:szCs w:val="20"/>
              </w:rPr>
              <w:t xml:space="preserve"> à deux reprises maximum. La demande doit être déposée au-delà de 24 mois suivant le décai</w:t>
            </w:r>
            <w:r w:rsidR="00C25CC1" w:rsidRPr="00F17779">
              <w:rPr>
                <w:bCs/>
                <w:iCs/>
                <w:sz w:val="20"/>
                <w:szCs w:val="20"/>
              </w:rPr>
              <w:t>ssement de la première demande.</w:t>
            </w:r>
          </w:p>
        </w:tc>
      </w:tr>
    </w:tbl>
    <w:p w:rsidR="00B84996" w:rsidRPr="006630A5" w:rsidRDefault="00B84996" w:rsidP="00F17779">
      <w:pPr>
        <w:spacing w:after="0" w:line="240" w:lineRule="auto"/>
        <w:rPr>
          <w:sz w:val="6"/>
          <w:szCs w:val="6"/>
        </w:rPr>
      </w:pPr>
    </w:p>
    <w:p w:rsidR="002A3777" w:rsidRPr="002F539D" w:rsidRDefault="002F539D" w:rsidP="002F539D">
      <w:pPr>
        <w:tabs>
          <w:tab w:val="left" w:pos="5355"/>
        </w:tabs>
        <w:autoSpaceDE w:val="0"/>
        <w:autoSpaceDN w:val="0"/>
        <w:adjustRightInd w:val="0"/>
        <w:spacing w:after="0" w:line="240" w:lineRule="auto"/>
        <w:ind w:left="360" w:hanging="360"/>
        <w:jc w:val="center"/>
        <w:outlineLvl w:val="1"/>
        <w:rPr>
          <w:rFonts w:ascii="Cambria" w:eastAsia="Calibri" w:hAnsi="Cambria" w:cs="Cambria"/>
          <w:b/>
          <w:bCs/>
          <w:iCs/>
          <w:smallCaps/>
          <w:color w:val="678492"/>
          <w:sz w:val="28"/>
          <w:szCs w:val="28"/>
        </w:rPr>
      </w:pPr>
      <w:r>
        <w:rPr>
          <w:rFonts w:ascii="Cambria" w:eastAsia="Calibri" w:hAnsi="Cambria" w:cs="Cambria"/>
          <w:b/>
          <w:bCs/>
          <w:iCs/>
          <w:smallCaps/>
          <w:color w:val="678492"/>
          <w:sz w:val="28"/>
          <w:szCs w:val="28"/>
        </w:rPr>
        <w:t>volet prêt :</w:t>
      </w:r>
    </w:p>
    <w:tbl>
      <w:tblPr>
        <w:tblStyle w:val="Grilledutableau"/>
        <w:tblW w:w="0" w:type="auto"/>
        <w:tblLook w:val="04A0" w:firstRow="1" w:lastRow="0" w:firstColumn="1" w:lastColumn="0" w:noHBand="0" w:noVBand="1"/>
      </w:tblPr>
      <w:tblGrid>
        <w:gridCol w:w="3369"/>
        <w:gridCol w:w="2693"/>
        <w:gridCol w:w="2718"/>
      </w:tblGrid>
      <w:tr w:rsidR="00C25CC1" w:rsidRPr="00F17779" w:rsidTr="000B20C2">
        <w:tc>
          <w:tcPr>
            <w:tcW w:w="3369" w:type="dxa"/>
            <w:shd w:val="clear" w:color="auto" w:fill="DAEEF3" w:themeFill="accent5" w:themeFillTint="33"/>
          </w:tcPr>
          <w:p w:rsidR="00C25CC1" w:rsidRPr="00F17779" w:rsidRDefault="00BA6419" w:rsidP="00BA6419">
            <w:pPr>
              <w:jc w:val="center"/>
              <w:rPr>
                <w:b/>
                <w:sz w:val="20"/>
                <w:szCs w:val="20"/>
              </w:rPr>
            </w:pPr>
            <w:r w:rsidRPr="00F17779">
              <w:rPr>
                <w:b/>
                <w:sz w:val="20"/>
                <w:szCs w:val="20"/>
              </w:rPr>
              <w:t>Création ou maintien d’emploi à temps plein (30 heures par semaine</w:t>
            </w:r>
            <w:r w:rsidR="00AD14C2" w:rsidRPr="00F17779">
              <w:rPr>
                <w:b/>
                <w:sz w:val="20"/>
                <w:szCs w:val="20"/>
              </w:rPr>
              <w:t>)</w:t>
            </w:r>
          </w:p>
        </w:tc>
        <w:tc>
          <w:tcPr>
            <w:tcW w:w="2693" w:type="dxa"/>
            <w:shd w:val="clear" w:color="auto" w:fill="DAEEF3" w:themeFill="accent5" w:themeFillTint="33"/>
          </w:tcPr>
          <w:p w:rsidR="00C25CC1" w:rsidRPr="00F17779" w:rsidRDefault="00BA6419" w:rsidP="00BA6419">
            <w:pPr>
              <w:jc w:val="center"/>
              <w:rPr>
                <w:b/>
                <w:sz w:val="20"/>
                <w:szCs w:val="20"/>
              </w:rPr>
            </w:pPr>
            <w:r w:rsidRPr="00F17779">
              <w:rPr>
                <w:b/>
                <w:sz w:val="20"/>
                <w:szCs w:val="20"/>
              </w:rPr>
              <w:t>Prêt</w:t>
            </w:r>
          </w:p>
          <w:p w:rsidR="00826EB2" w:rsidRPr="00F17779" w:rsidRDefault="00826EB2" w:rsidP="00BA6419">
            <w:pPr>
              <w:jc w:val="center"/>
              <w:rPr>
                <w:b/>
                <w:sz w:val="20"/>
                <w:szCs w:val="20"/>
              </w:rPr>
            </w:pPr>
            <w:r w:rsidRPr="00F17779">
              <w:rPr>
                <w:b/>
                <w:sz w:val="20"/>
                <w:szCs w:val="20"/>
              </w:rPr>
              <w:t>Taux d’intérêt fixe : 3,00 %</w:t>
            </w:r>
          </w:p>
        </w:tc>
        <w:tc>
          <w:tcPr>
            <w:tcW w:w="2718" w:type="dxa"/>
            <w:shd w:val="clear" w:color="auto" w:fill="DAEEF3" w:themeFill="accent5" w:themeFillTint="33"/>
          </w:tcPr>
          <w:p w:rsidR="00C25CC1" w:rsidRPr="00F17779" w:rsidRDefault="00BA6419" w:rsidP="00BA6419">
            <w:pPr>
              <w:jc w:val="center"/>
              <w:rPr>
                <w:b/>
                <w:sz w:val="20"/>
                <w:szCs w:val="20"/>
              </w:rPr>
            </w:pPr>
            <w:r w:rsidRPr="00F17779">
              <w:rPr>
                <w:b/>
                <w:sz w:val="20"/>
                <w:szCs w:val="20"/>
              </w:rPr>
              <w:t>Période d’amortissement</w:t>
            </w:r>
          </w:p>
        </w:tc>
      </w:tr>
      <w:tr w:rsidR="00BA6419" w:rsidRPr="00F17779" w:rsidTr="000B20C2">
        <w:tc>
          <w:tcPr>
            <w:tcW w:w="3369" w:type="dxa"/>
          </w:tcPr>
          <w:p w:rsidR="00BA6419" w:rsidRPr="00F17779" w:rsidRDefault="00BA6419" w:rsidP="009A221C">
            <w:pPr>
              <w:jc w:val="center"/>
              <w:rPr>
                <w:rFonts w:cs="Arial"/>
                <w:bCs/>
                <w:sz w:val="20"/>
                <w:szCs w:val="20"/>
              </w:rPr>
            </w:pPr>
            <w:r w:rsidRPr="00F17779">
              <w:rPr>
                <w:rFonts w:cs="Arial"/>
                <w:bCs/>
                <w:sz w:val="20"/>
                <w:szCs w:val="20"/>
              </w:rPr>
              <w:t xml:space="preserve">1 emploi </w:t>
            </w:r>
          </w:p>
        </w:tc>
        <w:tc>
          <w:tcPr>
            <w:tcW w:w="2693" w:type="dxa"/>
          </w:tcPr>
          <w:p w:rsidR="00BA6419" w:rsidRPr="00F17779" w:rsidRDefault="00BA6419" w:rsidP="009A221C">
            <w:pPr>
              <w:jc w:val="center"/>
              <w:rPr>
                <w:rFonts w:cs="Arial"/>
                <w:bCs/>
                <w:sz w:val="20"/>
                <w:szCs w:val="20"/>
              </w:rPr>
            </w:pPr>
            <w:r w:rsidRPr="00F17779">
              <w:rPr>
                <w:rFonts w:cs="Arial"/>
                <w:bCs/>
                <w:sz w:val="20"/>
                <w:szCs w:val="20"/>
              </w:rPr>
              <w:t>5 000 $</w:t>
            </w:r>
          </w:p>
        </w:tc>
        <w:tc>
          <w:tcPr>
            <w:tcW w:w="2718" w:type="dxa"/>
          </w:tcPr>
          <w:p w:rsidR="00BA6419" w:rsidRPr="00F17779" w:rsidRDefault="00BA6419" w:rsidP="009A221C">
            <w:pPr>
              <w:jc w:val="center"/>
              <w:rPr>
                <w:sz w:val="20"/>
                <w:szCs w:val="20"/>
              </w:rPr>
            </w:pPr>
            <w:r w:rsidRPr="00F17779">
              <w:rPr>
                <w:sz w:val="20"/>
                <w:szCs w:val="20"/>
              </w:rPr>
              <w:t>24 mois</w:t>
            </w:r>
          </w:p>
        </w:tc>
      </w:tr>
      <w:tr w:rsidR="00BA6419" w:rsidRPr="00F17779" w:rsidTr="000B20C2">
        <w:tc>
          <w:tcPr>
            <w:tcW w:w="3369" w:type="dxa"/>
          </w:tcPr>
          <w:p w:rsidR="00BA6419" w:rsidRPr="00F17779" w:rsidRDefault="00BA6419" w:rsidP="009A221C">
            <w:pPr>
              <w:jc w:val="center"/>
              <w:rPr>
                <w:rFonts w:cs="Arial"/>
                <w:bCs/>
                <w:sz w:val="20"/>
                <w:szCs w:val="20"/>
              </w:rPr>
            </w:pPr>
            <w:r w:rsidRPr="00F17779">
              <w:rPr>
                <w:rFonts w:cs="Arial"/>
                <w:bCs/>
                <w:sz w:val="20"/>
                <w:szCs w:val="20"/>
              </w:rPr>
              <w:t>2 emplois</w:t>
            </w:r>
          </w:p>
        </w:tc>
        <w:tc>
          <w:tcPr>
            <w:tcW w:w="2693" w:type="dxa"/>
          </w:tcPr>
          <w:p w:rsidR="00BA6419" w:rsidRPr="00F17779" w:rsidRDefault="00BA6419" w:rsidP="009A221C">
            <w:pPr>
              <w:jc w:val="center"/>
              <w:rPr>
                <w:rFonts w:cs="Arial"/>
                <w:bCs/>
                <w:sz w:val="20"/>
                <w:szCs w:val="20"/>
                <w:highlight w:val="yellow"/>
              </w:rPr>
            </w:pPr>
            <w:r w:rsidRPr="00F17779">
              <w:rPr>
                <w:rFonts w:cs="Arial"/>
                <w:bCs/>
                <w:sz w:val="20"/>
                <w:szCs w:val="20"/>
              </w:rPr>
              <w:t>10 000 $</w:t>
            </w:r>
          </w:p>
        </w:tc>
        <w:tc>
          <w:tcPr>
            <w:tcW w:w="2718" w:type="dxa"/>
          </w:tcPr>
          <w:p w:rsidR="00BA6419" w:rsidRPr="00F17779" w:rsidRDefault="00BA6419" w:rsidP="009A221C">
            <w:pPr>
              <w:jc w:val="center"/>
              <w:rPr>
                <w:sz w:val="20"/>
                <w:szCs w:val="20"/>
              </w:rPr>
            </w:pPr>
            <w:r w:rsidRPr="00F17779">
              <w:rPr>
                <w:sz w:val="20"/>
                <w:szCs w:val="20"/>
              </w:rPr>
              <w:t>36 mois</w:t>
            </w:r>
          </w:p>
        </w:tc>
      </w:tr>
      <w:tr w:rsidR="00BA6419" w:rsidRPr="00F17779" w:rsidTr="000B20C2">
        <w:tc>
          <w:tcPr>
            <w:tcW w:w="3369" w:type="dxa"/>
          </w:tcPr>
          <w:p w:rsidR="00BA6419" w:rsidRPr="00F17779" w:rsidRDefault="00BA6419" w:rsidP="009A221C">
            <w:pPr>
              <w:jc w:val="center"/>
              <w:rPr>
                <w:rFonts w:cs="Arial"/>
                <w:bCs/>
                <w:sz w:val="20"/>
                <w:szCs w:val="20"/>
              </w:rPr>
            </w:pPr>
            <w:r w:rsidRPr="00F17779">
              <w:rPr>
                <w:rFonts w:cs="Arial"/>
                <w:bCs/>
                <w:sz w:val="20"/>
                <w:szCs w:val="20"/>
              </w:rPr>
              <w:t>3-4 emplois</w:t>
            </w:r>
          </w:p>
        </w:tc>
        <w:tc>
          <w:tcPr>
            <w:tcW w:w="2693" w:type="dxa"/>
          </w:tcPr>
          <w:p w:rsidR="00BA6419" w:rsidRPr="00F17779" w:rsidRDefault="00BA6419" w:rsidP="009A221C">
            <w:pPr>
              <w:jc w:val="center"/>
              <w:rPr>
                <w:rFonts w:cs="Arial"/>
                <w:bCs/>
                <w:sz w:val="20"/>
                <w:szCs w:val="20"/>
                <w:highlight w:val="yellow"/>
              </w:rPr>
            </w:pPr>
            <w:r w:rsidRPr="00F17779">
              <w:rPr>
                <w:rFonts w:cs="Arial"/>
                <w:bCs/>
                <w:sz w:val="20"/>
                <w:szCs w:val="20"/>
              </w:rPr>
              <w:t>15 000 $</w:t>
            </w:r>
          </w:p>
        </w:tc>
        <w:tc>
          <w:tcPr>
            <w:tcW w:w="2718" w:type="dxa"/>
          </w:tcPr>
          <w:p w:rsidR="00BA6419" w:rsidRPr="00F17779" w:rsidRDefault="00BA6419" w:rsidP="009A221C">
            <w:pPr>
              <w:jc w:val="center"/>
              <w:rPr>
                <w:sz w:val="20"/>
                <w:szCs w:val="20"/>
              </w:rPr>
            </w:pPr>
            <w:r w:rsidRPr="00F17779">
              <w:rPr>
                <w:sz w:val="20"/>
                <w:szCs w:val="20"/>
              </w:rPr>
              <w:t>48 mois</w:t>
            </w:r>
          </w:p>
        </w:tc>
      </w:tr>
      <w:tr w:rsidR="00BA6419" w:rsidRPr="00F17779" w:rsidTr="000B20C2">
        <w:tc>
          <w:tcPr>
            <w:tcW w:w="3369" w:type="dxa"/>
          </w:tcPr>
          <w:p w:rsidR="00BA6419" w:rsidRPr="00F17779" w:rsidRDefault="00BA6419" w:rsidP="009A221C">
            <w:pPr>
              <w:jc w:val="center"/>
              <w:rPr>
                <w:rFonts w:cs="Arial"/>
                <w:bCs/>
                <w:sz w:val="20"/>
                <w:szCs w:val="20"/>
              </w:rPr>
            </w:pPr>
            <w:r w:rsidRPr="00F17779">
              <w:rPr>
                <w:rFonts w:cs="Arial"/>
                <w:bCs/>
                <w:sz w:val="20"/>
                <w:szCs w:val="20"/>
              </w:rPr>
              <w:t>5 emplois et plus</w:t>
            </w:r>
          </w:p>
        </w:tc>
        <w:tc>
          <w:tcPr>
            <w:tcW w:w="2693" w:type="dxa"/>
          </w:tcPr>
          <w:p w:rsidR="00BA6419" w:rsidRPr="00F17779" w:rsidRDefault="00BA6419" w:rsidP="009A221C">
            <w:pPr>
              <w:jc w:val="center"/>
              <w:rPr>
                <w:rFonts w:cs="Arial"/>
                <w:bCs/>
                <w:sz w:val="20"/>
                <w:szCs w:val="20"/>
              </w:rPr>
            </w:pPr>
            <w:r w:rsidRPr="00F17779">
              <w:rPr>
                <w:rFonts w:cs="Arial"/>
                <w:bCs/>
                <w:sz w:val="20"/>
                <w:szCs w:val="20"/>
              </w:rPr>
              <w:t>20 000 $</w:t>
            </w:r>
          </w:p>
        </w:tc>
        <w:tc>
          <w:tcPr>
            <w:tcW w:w="2718" w:type="dxa"/>
          </w:tcPr>
          <w:p w:rsidR="00BA6419" w:rsidRPr="00F17779" w:rsidRDefault="00BA6419" w:rsidP="009A221C">
            <w:pPr>
              <w:jc w:val="center"/>
              <w:rPr>
                <w:sz w:val="20"/>
                <w:szCs w:val="20"/>
              </w:rPr>
            </w:pPr>
            <w:r w:rsidRPr="00F17779">
              <w:rPr>
                <w:sz w:val="20"/>
                <w:szCs w:val="20"/>
              </w:rPr>
              <w:t>48-60 mois</w:t>
            </w:r>
          </w:p>
        </w:tc>
      </w:tr>
      <w:tr w:rsidR="00BA6419" w:rsidRPr="00F17779" w:rsidTr="000B20C2">
        <w:tc>
          <w:tcPr>
            <w:tcW w:w="3369" w:type="dxa"/>
          </w:tcPr>
          <w:p w:rsidR="00BA6419" w:rsidRPr="00F17779" w:rsidRDefault="00BA6419" w:rsidP="009A221C">
            <w:pPr>
              <w:jc w:val="center"/>
              <w:rPr>
                <w:rFonts w:cs="Arial"/>
                <w:bCs/>
                <w:sz w:val="20"/>
                <w:szCs w:val="20"/>
              </w:rPr>
            </w:pPr>
            <w:r w:rsidRPr="00F17779">
              <w:rPr>
                <w:rFonts w:cs="Arial"/>
                <w:bCs/>
                <w:sz w:val="20"/>
                <w:szCs w:val="20"/>
              </w:rPr>
              <w:t>10 emplois et plus</w:t>
            </w:r>
          </w:p>
        </w:tc>
        <w:tc>
          <w:tcPr>
            <w:tcW w:w="2693" w:type="dxa"/>
          </w:tcPr>
          <w:p w:rsidR="00BA6419" w:rsidRPr="00F17779" w:rsidRDefault="00BA6419" w:rsidP="009A221C">
            <w:pPr>
              <w:jc w:val="center"/>
              <w:rPr>
                <w:rFonts w:cs="Arial"/>
                <w:bCs/>
                <w:sz w:val="20"/>
                <w:szCs w:val="20"/>
              </w:rPr>
            </w:pPr>
            <w:r w:rsidRPr="00F17779">
              <w:rPr>
                <w:rFonts w:cs="Arial"/>
                <w:bCs/>
                <w:sz w:val="20"/>
                <w:szCs w:val="20"/>
              </w:rPr>
              <w:t>25 000 $</w:t>
            </w:r>
          </w:p>
        </w:tc>
        <w:tc>
          <w:tcPr>
            <w:tcW w:w="2718" w:type="dxa"/>
          </w:tcPr>
          <w:p w:rsidR="00BA6419" w:rsidRPr="00F17779" w:rsidRDefault="00BA6419" w:rsidP="009A221C">
            <w:pPr>
              <w:jc w:val="center"/>
              <w:rPr>
                <w:sz w:val="20"/>
                <w:szCs w:val="20"/>
              </w:rPr>
            </w:pPr>
            <w:r w:rsidRPr="00F17779">
              <w:rPr>
                <w:sz w:val="20"/>
                <w:szCs w:val="20"/>
              </w:rPr>
              <w:t>48-60 mois</w:t>
            </w:r>
          </w:p>
        </w:tc>
      </w:tr>
    </w:tbl>
    <w:p w:rsidR="00C25CC1" w:rsidRPr="006630A5" w:rsidRDefault="00C25CC1" w:rsidP="00C25CC1">
      <w:pPr>
        <w:spacing w:after="0"/>
        <w:rPr>
          <w:sz w:val="6"/>
          <w:szCs w:val="6"/>
        </w:rPr>
      </w:pPr>
    </w:p>
    <w:tbl>
      <w:tblPr>
        <w:tblStyle w:val="Grilledutableau"/>
        <w:tblW w:w="0" w:type="auto"/>
        <w:tblLook w:val="04A0" w:firstRow="1" w:lastRow="0" w:firstColumn="1" w:lastColumn="0" w:noHBand="0" w:noVBand="1"/>
      </w:tblPr>
      <w:tblGrid>
        <w:gridCol w:w="675"/>
        <w:gridCol w:w="8105"/>
      </w:tblGrid>
      <w:tr w:rsidR="00BA6419" w:rsidRPr="00F17779" w:rsidTr="006450F9">
        <w:tc>
          <w:tcPr>
            <w:tcW w:w="8780" w:type="dxa"/>
            <w:gridSpan w:val="2"/>
            <w:shd w:val="clear" w:color="auto" w:fill="DAEEF3" w:themeFill="accent5" w:themeFillTint="33"/>
          </w:tcPr>
          <w:p w:rsidR="00BA6419" w:rsidRPr="00F17779" w:rsidRDefault="00BA6419" w:rsidP="009A221C">
            <w:pPr>
              <w:jc w:val="center"/>
              <w:rPr>
                <w:b/>
                <w:sz w:val="20"/>
                <w:szCs w:val="20"/>
              </w:rPr>
            </w:pPr>
            <w:r w:rsidRPr="00F17779">
              <w:rPr>
                <w:b/>
                <w:sz w:val="20"/>
                <w:szCs w:val="20"/>
              </w:rPr>
              <w:t>Critères</w:t>
            </w:r>
            <w:r w:rsidR="00C27967">
              <w:rPr>
                <w:b/>
                <w:sz w:val="20"/>
                <w:szCs w:val="20"/>
              </w:rPr>
              <w:t xml:space="preserve"> spécifiques</w:t>
            </w:r>
            <w:r w:rsidR="001C53A5" w:rsidRPr="00F17779">
              <w:rPr>
                <w:b/>
                <w:sz w:val="20"/>
                <w:szCs w:val="20"/>
              </w:rPr>
              <w:t>-</w:t>
            </w:r>
            <w:r w:rsidRPr="00F17779">
              <w:rPr>
                <w:b/>
                <w:sz w:val="20"/>
                <w:szCs w:val="20"/>
              </w:rPr>
              <w:t>volet prêt</w:t>
            </w:r>
          </w:p>
        </w:tc>
      </w:tr>
      <w:tr w:rsidR="00BA6419" w:rsidRPr="00F17779" w:rsidTr="00F17779">
        <w:tc>
          <w:tcPr>
            <w:tcW w:w="675" w:type="dxa"/>
          </w:tcPr>
          <w:p w:rsidR="00BA6419" w:rsidRPr="00F17779" w:rsidRDefault="00BA6419" w:rsidP="009A221C">
            <w:pPr>
              <w:rPr>
                <w:sz w:val="20"/>
                <w:szCs w:val="20"/>
              </w:rPr>
            </w:pPr>
          </w:p>
        </w:tc>
        <w:tc>
          <w:tcPr>
            <w:tcW w:w="8105" w:type="dxa"/>
          </w:tcPr>
          <w:p w:rsidR="00BA6419" w:rsidRPr="00F17779" w:rsidRDefault="00BA6419" w:rsidP="009A221C">
            <w:pPr>
              <w:jc w:val="both"/>
              <w:rPr>
                <w:bCs/>
                <w:iCs/>
                <w:sz w:val="20"/>
                <w:szCs w:val="20"/>
              </w:rPr>
            </w:pPr>
            <w:r w:rsidRPr="00F17779">
              <w:rPr>
                <w:bCs/>
                <w:iCs/>
                <w:sz w:val="20"/>
                <w:szCs w:val="20"/>
              </w:rPr>
              <w:t>Être</w:t>
            </w:r>
            <w:r w:rsidR="002A3777" w:rsidRPr="00F17779">
              <w:rPr>
                <w:bCs/>
                <w:iCs/>
                <w:sz w:val="20"/>
                <w:szCs w:val="20"/>
              </w:rPr>
              <w:t xml:space="preserve"> en situation </w:t>
            </w:r>
            <w:r w:rsidR="002A3777" w:rsidRPr="00F17779">
              <w:rPr>
                <w:b/>
                <w:bCs/>
                <w:iCs/>
                <w:sz w:val="20"/>
                <w:szCs w:val="20"/>
              </w:rPr>
              <w:t>de démarrage ou</w:t>
            </w:r>
            <w:r w:rsidRPr="00F17779">
              <w:rPr>
                <w:b/>
                <w:bCs/>
                <w:iCs/>
                <w:sz w:val="20"/>
                <w:szCs w:val="20"/>
              </w:rPr>
              <w:t xml:space="preserve"> consolidation.</w:t>
            </w:r>
          </w:p>
        </w:tc>
      </w:tr>
      <w:tr w:rsidR="00BA6419" w:rsidRPr="00F17779" w:rsidTr="00F17779">
        <w:tc>
          <w:tcPr>
            <w:tcW w:w="675" w:type="dxa"/>
          </w:tcPr>
          <w:p w:rsidR="00BA6419" w:rsidRPr="00F17779" w:rsidRDefault="00BA6419" w:rsidP="009A221C">
            <w:pPr>
              <w:rPr>
                <w:sz w:val="20"/>
                <w:szCs w:val="20"/>
              </w:rPr>
            </w:pPr>
          </w:p>
        </w:tc>
        <w:tc>
          <w:tcPr>
            <w:tcW w:w="8105" w:type="dxa"/>
          </w:tcPr>
          <w:p w:rsidR="00BA6419" w:rsidRPr="00F17779" w:rsidRDefault="00BA6419" w:rsidP="009A221C">
            <w:pPr>
              <w:jc w:val="both"/>
              <w:rPr>
                <w:bCs/>
                <w:iCs/>
                <w:sz w:val="20"/>
                <w:szCs w:val="20"/>
              </w:rPr>
            </w:pPr>
            <w:r w:rsidRPr="00F17779">
              <w:rPr>
                <w:bCs/>
                <w:iCs/>
                <w:sz w:val="20"/>
                <w:szCs w:val="20"/>
              </w:rPr>
              <w:t xml:space="preserve">Dans le cadre </w:t>
            </w:r>
            <w:r w:rsidR="00142B8E">
              <w:rPr>
                <w:bCs/>
                <w:iCs/>
                <w:sz w:val="20"/>
                <w:szCs w:val="20"/>
              </w:rPr>
              <w:t>d’un refinancement, l’entrepreneur</w:t>
            </w:r>
            <w:r w:rsidRPr="00F17779">
              <w:rPr>
                <w:bCs/>
                <w:iCs/>
                <w:sz w:val="20"/>
                <w:szCs w:val="20"/>
              </w:rPr>
              <w:t xml:space="preserve"> ou l’entreprise devra rembourser le solde du prêt </w:t>
            </w:r>
            <w:r w:rsidR="00AD6854">
              <w:rPr>
                <w:bCs/>
                <w:iCs/>
                <w:sz w:val="20"/>
                <w:szCs w:val="20"/>
              </w:rPr>
              <w:t xml:space="preserve">SE </w:t>
            </w:r>
            <w:r w:rsidRPr="00F17779">
              <w:rPr>
                <w:bCs/>
                <w:iCs/>
                <w:sz w:val="20"/>
                <w:szCs w:val="20"/>
              </w:rPr>
              <w:t>déjà consenti par la MRC</w:t>
            </w:r>
            <w:r w:rsidR="00BF71E1" w:rsidRPr="00F17779">
              <w:rPr>
                <w:bCs/>
                <w:iCs/>
                <w:sz w:val="20"/>
                <w:szCs w:val="20"/>
              </w:rPr>
              <w:t>.</w:t>
            </w:r>
          </w:p>
        </w:tc>
      </w:tr>
      <w:tr w:rsidR="00BA6419" w:rsidRPr="00F17779" w:rsidTr="00F17779">
        <w:trPr>
          <w:trHeight w:val="210"/>
        </w:trPr>
        <w:tc>
          <w:tcPr>
            <w:tcW w:w="675" w:type="dxa"/>
          </w:tcPr>
          <w:p w:rsidR="00BA6419" w:rsidRPr="00F17779" w:rsidRDefault="00BA6419" w:rsidP="009A221C">
            <w:pPr>
              <w:rPr>
                <w:sz w:val="20"/>
                <w:szCs w:val="20"/>
              </w:rPr>
            </w:pPr>
          </w:p>
        </w:tc>
        <w:tc>
          <w:tcPr>
            <w:tcW w:w="8105" w:type="dxa"/>
          </w:tcPr>
          <w:p w:rsidR="00BA6419" w:rsidRPr="00F17779" w:rsidRDefault="002A3777" w:rsidP="009A221C">
            <w:pPr>
              <w:jc w:val="both"/>
              <w:rPr>
                <w:bCs/>
                <w:iCs/>
                <w:sz w:val="20"/>
                <w:szCs w:val="20"/>
              </w:rPr>
            </w:pPr>
            <w:r w:rsidRPr="00F17779">
              <w:rPr>
                <w:bCs/>
                <w:iCs/>
                <w:sz w:val="20"/>
                <w:szCs w:val="20"/>
              </w:rPr>
              <w:t>Faire</w:t>
            </w:r>
            <w:r w:rsidR="00BA6419" w:rsidRPr="00F17779">
              <w:rPr>
                <w:bCs/>
                <w:iCs/>
                <w:sz w:val="20"/>
                <w:szCs w:val="20"/>
              </w:rPr>
              <w:t xml:space="preserve"> une mise d</w:t>
            </w:r>
            <w:r w:rsidR="00BF71E1" w:rsidRPr="00F17779">
              <w:rPr>
                <w:bCs/>
                <w:iCs/>
                <w:sz w:val="20"/>
                <w:szCs w:val="20"/>
              </w:rPr>
              <w:t>e fonds de 50 % du prêt demandé.</w:t>
            </w:r>
          </w:p>
        </w:tc>
      </w:tr>
    </w:tbl>
    <w:p w:rsidR="00CE54A1" w:rsidRPr="006630A5" w:rsidRDefault="00CE54A1" w:rsidP="002A3777">
      <w:pPr>
        <w:tabs>
          <w:tab w:val="left" w:pos="5355"/>
        </w:tabs>
        <w:autoSpaceDE w:val="0"/>
        <w:autoSpaceDN w:val="0"/>
        <w:adjustRightInd w:val="0"/>
        <w:spacing w:after="0" w:line="240" w:lineRule="auto"/>
        <w:outlineLvl w:val="1"/>
        <w:rPr>
          <w:rFonts w:ascii="Cambria" w:eastAsia="Calibri" w:hAnsi="Cambria" w:cs="Cambria"/>
          <w:b/>
          <w:bCs/>
          <w:iCs/>
          <w:smallCaps/>
          <w:color w:val="678492"/>
          <w:sz w:val="10"/>
          <w:szCs w:val="10"/>
        </w:rPr>
      </w:pPr>
    </w:p>
    <w:p w:rsidR="00BF71E1" w:rsidRPr="00AD14C2" w:rsidRDefault="00BF71E1" w:rsidP="00BF71E1">
      <w:pPr>
        <w:tabs>
          <w:tab w:val="left" w:pos="5355"/>
        </w:tabs>
        <w:autoSpaceDE w:val="0"/>
        <w:autoSpaceDN w:val="0"/>
        <w:adjustRightInd w:val="0"/>
        <w:spacing w:after="0" w:line="240" w:lineRule="auto"/>
        <w:ind w:left="360" w:hanging="360"/>
        <w:jc w:val="center"/>
        <w:outlineLvl w:val="1"/>
        <w:rPr>
          <w:rFonts w:ascii="Cambria" w:eastAsia="Calibri" w:hAnsi="Cambria" w:cs="Cambria"/>
          <w:b/>
          <w:bCs/>
          <w:iCs/>
          <w:smallCaps/>
          <w:color w:val="678492"/>
          <w:sz w:val="28"/>
          <w:szCs w:val="28"/>
        </w:rPr>
      </w:pPr>
      <w:r w:rsidRPr="00AD14C2">
        <w:rPr>
          <w:rFonts w:ascii="Cambria" w:eastAsia="Calibri" w:hAnsi="Cambria" w:cs="Cambria"/>
          <w:b/>
          <w:bCs/>
          <w:iCs/>
          <w:smallCaps/>
          <w:color w:val="678492"/>
          <w:sz w:val="28"/>
          <w:szCs w:val="28"/>
        </w:rPr>
        <w:t>FONDS LOCAUX (</w:t>
      </w:r>
      <w:proofErr w:type="spellStart"/>
      <w:r w:rsidRPr="00AD14C2">
        <w:rPr>
          <w:rFonts w:ascii="Cambria" w:eastAsia="Calibri" w:hAnsi="Cambria" w:cs="Cambria"/>
          <w:b/>
          <w:bCs/>
          <w:iCs/>
          <w:smallCaps/>
          <w:color w:val="678492"/>
          <w:sz w:val="28"/>
          <w:szCs w:val="28"/>
        </w:rPr>
        <w:t>fli</w:t>
      </w:r>
      <w:proofErr w:type="spellEnd"/>
      <w:r w:rsidRPr="00AD14C2">
        <w:rPr>
          <w:rFonts w:ascii="Cambria" w:eastAsia="Calibri" w:hAnsi="Cambria" w:cs="Cambria"/>
          <w:b/>
          <w:bCs/>
          <w:iCs/>
          <w:smallCaps/>
          <w:color w:val="678492"/>
          <w:sz w:val="28"/>
          <w:szCs w:val="28"/>
        </w:rPr>
        <w:t>/</w:t>
      </w:r>
      <w:proofErr w:type="spellStart"/>
      <w:r w:rsidRPr="00AD14C2">
        <w:rPr>
          <w:rFonts w:ascii="Cambria" w:eastAsia="Calibri" w:hAnsi="Cambria" w:cs="Cambria"/>
          <w:b/>
          <w:bCs/>
          <w:iCs/>
          <w:smallCaps/>
          <w:color w:val="678492"/>
          <w:sz w:val="28"/>
          <w:szCs w:val="28"/>
        </w:rPr>
        <w:t>fls</w:t>
      </w:r>
      <w:proofErr w:type="spellEnd"/>
      <w:r w:rsidRPr="00C25CC1">
        <w:rPr>
          <w:rFonts w:ascii="Cambria" w:eastAsia="Calibri" w:hAnsi="Cambria" w:cs="Cambria"/>
          <w:b/>
          <w:bCs/>
          <w:iCs/>
          <w:smallCaps/>
          <w:color w:val="678492"/>
          <w:sz w:val="28"/>
          <w:szCs w:val="28"/>
        </w:rPr>
        <w:t>)</w:t>
      </w:r>
    </w:p>
    <w:p w:rsidR="00BA6419" w:rsidRPr="00CE54A1" w:rsidRDefault="00BA6419" w:rsidP="00C25CC1">
      <w:pPr>
        <w:spacing w:after="0"/>
        <w:rPr>
          <w:sz w:val="18"/>
          <w:szCs w:val="18"/>
        </w:rPr>
      </w:pPr>
    </w:p>
    <w:p w:rsidR="00B41910" w:rsidRPr="00F17779" w:rsidRDefault="00B41910" w:rsidP="00C25CC1">
      <w:pPr>
        <w:spacing w:after="0"/>
        <w:rPr>
          <w:sz w:val="20"/>
          <w:szCs w:val="20"/>
        </w:rPr>
      </w:pPr>
      <w:r w:rsidRPr="00F17779">
        <w:rPr>
          <w:sz w:val="20"/>
          <w:szCs w:val="20"/>
        </w:rPr>
        <w:t>Ce fonds d’investissement vise à aider les entreprises privées ou les entreprises d’économie sociale (OBNL ou COOP) en leur offrant un support financier sous forme de prêt à terme.</w:t>
      </w:r>
    </w:p>
    <w:p w:rsidR="00B41910" w:rsidRPr="00F17779" w:rsidRDefault="00B41910" w:rsidP="00C25CC1">
      <w:pPr>
        <w:spacing w:after="0"/>
        <w:rPr>
          <w:sz w:val="20"/>
          <w:szCs w:val="20"/>
        </w:rPr>
      </w:pPr>
    </w:p>
    <w:tbl>
      <w:tblPr>
        <w:tblStyle w:val="Grilledutableau"/>
        <w:tblW w:w="0" w:type="auto"/>
        <w:tblLook w:val="04A0" w:firstRow="1" w:lastRow="0" w:firstColumn="1" w:lastColumn="0" w:noHBand="0" w:noVBand="1"/>
      </w:tblPr>
      <w:tblGrid>
        <w:gridCol w:w="959"/>
        <w:gridCol w:w="7821"/>
      </w:tblGrid>
      <w:tr w:rsidR="00B41910" w:rsidRPr="00F17779" w:rsidTr="006450F9">
        <w:tc>
          <w:tcPr>
            <w:tcW w:w="8780" w:type="dxa"/>
            <w:gridSpan w:val="2"/>
            <w:shd w:val="clear" w:color="auto" w:fill="DAEEF3" w:themeFill="accent5" w:themeFillTint="33"/>
          </w:tcPr>
          <w:p w:rsidR="00B41910" w:rsidRPr="00F17779" w:rsidRDefault="00B41910" w:rsidP="00B41910">
            <w:pPr>
              <w:spacing w:line="276" w:lineRule="auto"/>
              <w:jc w:val="center"/>
              <w:rPr>
                <w:b/>
                <w:sz w:val="20"/>
                <w:szCs w:val="20"/>
              </w:rPr>
            </w:pPr>
            <w:r w:rsidRPr="00F17779">
              <w:rPr>
                <w:b/>
                <w:sz w:val="20"/>
                <w:szCs w:val="20"/>
              </w:rPr>
              <w:t>Critères spécifiques au Fonds locaux</w:t>
            </w:r>
          </w:p>
        </w:tc>
      </w:tr>
      <w:tr w:rsidR="00B41910" w:rsidRPr="00F17779" w:rsidTr="009A221C">
        <w:tc>
          <w:tcPr>
            <w:tcW w:w="959" w:type="dxa"/>
          </w:tcPr>
          <w:p w:rsidR="00B41910" w:rsidRPr="00F17779" w:rsidRDefault="00B41910" w:rsidP="00B41910">
            <w:pPr>
              <w:spacing w:line="276" w:lineRule="auto"/>
              <w:rPr>
                <w:sz w:val="20"/>
                <w:szCs w:val="20"/>
              </w:rPr>
            </w:pPr>
          </w:p>
        </w:tc>
        <w:tc>
          <w:tcPr>
            <w:tcW w:w="7821" w:type="dxa"/>
          </w:tcPr>
          <w:p w:rsidR="00B41910" w:rsidRPr="00F17779" w:rsidRDefault="00B41910" w:rsidP="00B41910">
            <w:pPr>
              <w:spacing w:line="276" w:lineRule="auto"/>
              <w:rPr>
                <w:bCs/>
                <w:iCs/>
                <w:sz w:val="20"/>
                <w:szCs w:val="20"/>
              </w:rPr>
            </w:pPr>
            <w:r w:rsidRPr="00F17779">
              <w:rPr>
                <w:bCs/>
                <w:iCs/>
                <w:sz w:val="20"/>
                <w:szCs w:val="20"/>
              </w:rPr>
              <w:t>Être en situation de démarrage, acquisition</w:t>
            </w:r>
            <w:r w:rsidR="00734342" w:rsidRPr="00F17779">
              <w:rPr>
                <w:bCs/>
                <w:iCs/>
                <w:sz w:val="20"/>
                <w:szCs w:val="20"/>
              </w:rPr>
              <w:t>/relève</w:t>
            </w:r>
            <w:r w:rsidRPr="00F17779">
              <w:rPr>
                <w:bCs/>
                <w:iCs/>
                <w:sz w:val="20"/>
                <w:szCs w:val="20"/>
              </w:rPr>
              <w:t xml:space="preserve"> ou expansion</w:t>
            </w:r>
            <w:r w:rsidR="00734342" w:rsidRPr="00F17779">
              <w:rPr>
                <w:bCs/>
                <w:iCs/>
                <w:sz w:val="20"/>
                <w:szCs w:val="20"/>
              </w:rPr>
              <w:t>/modernisation</w:t>
            </w:r>
            <w:r w:rsidRPr="00F17779">
              <w:rPr>
                <w:bCs/>
                <w:iCs/>
                <w:sz w:val="20"/>
                <w:szCs w:val="20"/>
              </w:rPr>
              <w:t>.</w:t>
            </w:r>
          </w:p>
        </w:tc>
      </w:tr>
      <w:tr w:rsidR="00B41910" w:rsidRPr="00F17779" w:rsidTr="009A221C">
        <w:tc>
          <w:tcPr>
            <w:tcW w:w="959" w:type="dxa"/>
          </w:tcPr>
          <w:p w:rsidR="00B41910" w:rsidRPr="00F17779" w:rsidRDefault="00B41910" w:rsidP="00B41910">
            <w:pPr>
              <w:spacing w:line="276" w:lineRule="auto"/>
              <w:rPr>
                <w:sz w:val="20"/>
                <w:szCs w:val="20"/>
              </w:rPr>
            </w:pPr>
          </w:p>
        </w:tc>
        <w:tc>
          <w:tcPr>
            <w:tcW w:w="7821" w:type="dxa"/>
          </w:tcPr>
          <w:p w:rsidR="00B41910" w:rsidRPr="00F17779" w:rsidRDefault="002A3777" w:rsidP="002A3777">
            <w:pPr>
              <w:spacing w:line="276" w:lineRule="auto"/>
              <w:jc w:val="both"/>
              <w:rPr>
                <w:bCs/>
                <w:iCs/>
                <w:sz w:val="20"/>
                <w:szCs w:val="20"/>
              </w:rPr>
            </w:pPr>
            <w:r w:rsidRPr="00F17779">
              <w:rPr>
                <w:bCs/>
                <w:iCs/>
                <w:sz w:val="20"/>
                <w:szCs w:val="20"/>
              </w:rPr>
              <w:t>Faire</w:t>
            </w:r>
            <w:r w:rsidR="00B41910" w:rsidRPr="00F17779">
              <w:rPr>
                <w:bCs/>
                <w:iCs/>
                <w:sz w:val="20"/>
                <w:szCs w:val="20"/>
              </w:rPr>
              <w:t xml:space="preserve"> une mise de fonds de 20 % du coût total du projet.</w:t>
            </w:r>
            <w:r w:rsidR="00734342" w:rsidRPr="00F17779">
              <w:rPr>
                <w:bCs/>
                <w:iCs/>
                <w:sz w:val="20"/>
                <w:szCs w:val="20"/>
              </w:rPr>
              <w:t xml:space="preserve"> </w:t>
            </w:r>
            <w:r w:rsidRPr="00F17779">
              <w:rPr>
                <w:bCs/>
                <w:iCs/>
                <w:sz w:val="20"/>
                <w:szCs w:val="20"/>
              </w:rPr>
              <w:t>Dans le cas d’une entreprise existante, l’équité de l’entreprise (avoir net) après projet doit atteindre 20 %.</w:t>
            </w:r>
          </w:p>
        </w:tc>
      </w:tr>
      <w:tr w:rsidR="00B41910" w:rsidRPr="00F17779" w:rsidTr="00B41910">
        <w:trPr>
          <w:trHeight w:val="209"/>
        </w:trPr>
        <w:tc>
          <w:tcPr>
            <w:tcW w:w="959" w:type="dxa"/>
          </w:tcPr>
          <w:p w:rsidR="00B41910" w:rsidRPr="00F17779" w:rsidRDefault="00B41910" w:rsidP="00B41910">
            <w:pPr>
              <w:spacing w:line="276" w:lineRule="auto"/>
              <w:rPr>
                <w:sz w:val="20"/>
                <w:szCs w:val="20"/>
              </w:rPr>
            </w:pPr>
          </w:p>
        </w:tc>
        <w:tc>
          <w:tcPr>
            <w:tcW w:w="7821" w:type="dxa"/>
          </w:tcPr>
          <w:p w:rsidR="00B41910" w:rsidRPr="00F17779" w:rsidRDefault="00AD6854" w:rsidP="00B41910">
            <w:pPr>
              <w:spacing w:line="276" w:lineRule="auto"/>
              <w:rPr>
                <w:bCs/>
                <w:iCs/>
                <w:sz w:val="20"/>
                <w:szCs w:val="20"/>
              </w:rPr>
            </w:pPr>
            <w:r w:rsidRPr="00AD6854">
              <w:rPr>
                <w:bCs/>
                <w:iCs/>
                <w:sz w:val="20"/>
                <w:szCs w:val="20"/>
              </w:rPr>
              <w:t>Dans le cas d’une acquisition/relève, l‘un des entrepreneurs doit posséder au moins 25 % des parts de l’entreprise.</w:t>
            </w:r>
          </w:p>
        </w:tc>
      </w:tr>
    </w:tbl>
    <w:p w:rsidR="00B41910" w:rsidRPr="00F17779" w:rsidRDefault="00B41910" w:rsidP="00C25CC1">
      <w:pPr>
        <w:spacing w:after="0"/>
        <w:rPr>
          <w:sz w:val="20"/>
          <w:szCs w:val="20"/>
        </w:rPr>
      </w:pPr>
    </w:p>
    <w:p w:rsidR="00B41910" w:rsidRPr="00F17779" w:rsidRDefault="00D51E49" w:rsidP="00B41910">
      <w:pPr>
        <w:spacing w:after="0"/>
        <w:rPr>
          <w:sz w:val="20"/>
          <w:szCs w:val="20"/>
        </w:rPr>
      </w:pPr>
      <w:r w:rsidRPr="00F17779">
        <w:rPr>
          <w:sz w:val="20"/>
          <w:szCs w:val="20"/>
        </w:rPr>
        <w:t>L’aide financière est</w:t>
      </w:r>
      <w:r w:rsidR="00B41910" w:rsidRPr="00F17779">
        <w:rPr>
          <w:sz w:val="20"/>
          <w:szCs w:val="20"/>
        </w:rPr>
        <w:t xml:space="preserve"> attribuée en fonction </w:t>
      </w:r>
      <w:r w:rsidRPr="00F17779">
        <w:rPr>
          <w:sz w:val="20"/>
          <w:szCs w:val="20"/>
        </w:rPr>
        <w:t xml:space="preserve">de la phase de développement et </w:t>
      </w:r>
      <w:r w:rsidR="00B41910" w:rsidRPr="00F17779">
        <w:rPr>
          <w:sz w:val="20"/>
          <w:szCs w:val="20"/>
        </w:rPr>
        <w:t>des retombées économiques du projet :</w:t>
      </w:r>
    </w:p>
    <w:p w:rsidR="00B41910" w:rsidRPr="00F17779" w:rsidRDefault="00B41910" w:rsidP="00B41910">
      <w:pPr>
        <w:spacing w:after="0"/>
        <w:rPr>
          <w:sz w:val="20"/>
          <w:szCs w:val="20"/>
        </w:rPr>
      </w:pPr>
    </w:p>
    <w:tbl>
      <w:tblPr>
        <w:tblStyle w:val="Grilledutableau"/>
        <w:tblW w:w="8780" w:type="dxa"/>
        <w:tblLook w:val="04A0" w:firstRow="1" w:lastRow="0" w:firstColumn="1" w:lastColumn="0" w:noHBand="0" w:noVBand="1"/>
      </w:tblPr>
      <w:tblGrid>
        <w:gridCol w:w="4390"/>
        <w:gridCol w:w="4390"/>
      </w:tblGrid>
      <w:tr w:rsidR="00B41910" w:rsidRPr="00F17779" w:rsidTr="00B41910">
        <w:tc>
          <w:tcPr>
            <w:tcW w:w="4390" w:type="dxa"/>
          </w:tcPr>
          <w:p w:rsidR="00B41910" w:rsidRPr="00F17779" w:rsidRDefault="00D51E49" w:rsidP="009A221C">
            <w:pPr>
              <w:spacing w:line="276" w:lineRule="auto"/>
              <w:rPr>
                <w:sz w:val="20"/>
                <w:szCs w:val="20"/>
              </w:rPr>
            </w:pPr>
            <w:r w:rsidRPr="00F17779">
              <w:rPr>
                <w:sz w:val="20"/>
                <w:szCs w:val="20"/>
              </w:rPr>
              <w:t>Volet d</w:t>
            </w:r>
            <w:r w:rsidR="00B41910" w:rsidRPr="00F17779">
              <w:rPr>
                <w:sz w:val="20"/>
                <w:szCs w:val="20"/>
              </w:rPr>
              <w:t>émarrage</w:t>
            </w:r>
          </w:p>
        </w:tc>
        <w:tc>
          <w:tcPr>
            <w:tcW w:w="4390" w:type="dxa"/>
          </w:tcPr>
          <w:p w:rsidR="00B41910" w:rsidRPr="00F17779" w:rsidRDefault="00B41910" w:rsidP="00D51E49">
            <w:pPr>
              <w:spacing w:line="276" w:lineRule="auto"/>
              <w:jc w:val="center"/>
              <w:rPr>
                <w:sz w:val="20"/>
                <w:szCs w:val="20"/>
              </w:rPr>
            </w:pPr>
            <w:r w:rsidRPr="00F17779">
              <w:rPr>
                <w:sz w:val="20"/>
                <w:szCs w:val="20"/>
              </w:rPr>
              <w:t>Maximum 50 000 $</w:t>
            </w:r>
          </w:p>
        </w:tc>
      </w:tr>
      <w:tr w:rsidR="00B41910" w:rsidRPr="00F17779" w:rsidTr="00B41910">
        <w:tc>
          <w:tcPr>
            <w:tcW w:w="4390" w:type="dxa"/>
          </w:tcPr>
          <w:p w:rsidR="00B41910" w:rsidRPr="00F17779" w:rsidRDefault="00D51E49" w:rsidP="009A221C">
            <w:pPr>
              <w:spacing w:line="276" w:lineRule="auto"/>
              <w:rPr>
                <w:sz w:val="20"/>
                <w:szCs w:val="20"/>
              </w:rPr>
            </w:pPr>
            <w:r w:rsidRPr="00F17779">
              <w:rPr>
                <w:sz w:val="20"/>
                <w:szCs w:val="20"/>
              </w:rPr>
              <w:t>Volet e</w:t>
            </w:r>
            <w:r w:rsidR="00B41910" w:rsidRPr="00F17779">
              <w:rPr>
                <w:sz w:val="20"/>
                <w:szCs w:val="20"/>
              </w:rPr>
              <w:t>xpansion/modernisation-acquisition/relève</w:t>
            </w:r>
          </w:p>
        </w:tc>
        <w:tc>
          <w:tcPr>
            <w:tcW w:w="4390" w:type="dxa"/>
          </w:tcPr>
          <w:p w:rsidR="00B41910" w:rsidRPr="00F17779" w:rsidRDefault="00B41910" w:rsidP="00D51E49">
            <w:pPr>
              <w:spacing w:line="276" w:lineRule="auto"/>
              <w:jc w:val="center"/>
              <w:rPr>
                <w:sz w:val="20"/>
                <w:szCs w:val="20"/>
              </w:rPr>
            </w:pPr>
            <w:r w:rsidRPr="00F17779">
              <w:rPr>
                <w:sz w:val="20"/>
                <w:szCs w:val="20"/>
              </w:rPr>
              <w:t>Maximum 150 000 $</w:t>
            </w:r>
          </w:p>
        </w:tc>
      </w:tr>
    </w:tbl>
    <w:p w:rsidR="00B41910" w:rsidRPr="005010A9" w:rsidRDefault="00B41910" w:rsidP="00B41910">
      <w:pPr>
        <w:spacing w:after="0"/>
        <w:rPr>
          <w:sz w:val="16"/>
          <w:szCs w:val="16"/>
        </w:rPr>
      </w:pPr>
    </w:p>
    <w:p w:rsidR="00C27967" w:rsidRPr="005010A9" w:rsidRDefault="00C27967" w:rsidP="00B41910">
      <w:pPr>
        <w:spacing w:after="0"/>
        <w:rPr>
          <w:sz w:val="16"/>
          <w:szCs w:val="16"/>
        </w:rPr>
      </w:pPr>
    </w:p>
    <w:tbl>
      <w:tblPr>
        <w:tblStyle w:val="Grilledutableau"/>
        <w:tblW w:w="0" w:type="auto"/>
        <w:tblLook w:val="04A0" w:firstRow="1" w:lastRow="0" w:firstColumn="1" w:lastColumn="0" w:noHBand="0" w:noVBand="1"/>
      </w:tblPr>
      <w:tblGrid>
        <w:gridCol w:w="4390"/>
        <w:gridCol w:w="4390"/>
      </w:tblGrid>
      <w:tr w:rsidR="00D51E49" w:rsidRPr="00F17779" w:rsidTr="006450F9">
        <w:tc>
          <w:tcPr>
            <w:tcW w:w="8780" w:type="dxa"/>
            <w:gridSpan w:val="2"/>
            <w:shd w:val="clear" w:color="auto" w:fill="DAEEF3" w:themeFill="accent5" w:themeFillTint="33"/>
          </w:tcPr>
          <w:p w:rsidR="00D51E49" w:rsidRPr="00F17779" w:rsidRDefault="00D51E49" w:rsidP="00D51E49">
            <w:pPr>
              <w:jc w:val="center"/>
              <w:rPr>
                <w:b/>
                <w:sz w:val="20"/>
                <w:szCs w:val="20"/>
              </w:rPr>
            </w:pPr>
            <w:r w:rsidRPr="00F17779">
              <w:rPr>
                <w:b/>
                <w:sz w:val="20"/>
                <w:szCs w:val="20"/>
              </w:rPr>
              <w:t>Volet démarrage</w:t>
            </w:r>
          </w:p>
        </w:tc>
      </w:tr>
      <w:tr w:rsidR="00D51E49" w:rsidRPr="00F17779" w:rsidTr="00D51E49">
        <w:tc>
          <w:tcPr>
            <w:tcW w:w="4390" w:type="dxa"/>
          </w:tcPr>
          <w:p w:rsidR="00D51E49" w:rsidRPr="00F17779" w:rsidRDefault="00D51E49" w:rsidP="00D51E49">
            <w:pPr>
              <w:jc w:val="center"/>
              <w:rPr>
                <w:b/>
                <w:sz w:val="20"/>
                <w:szCs w:val="20"/>
              </w:rPr>
            </w:pPr>
            <w:r w:rsidRPr="00F17779">
              <w:rPr>
                <w:b/>
                <w:sz w:val="20"/>
                <w:szCs w:val="20"/>
              </w:rPr>
              <w:t>Nombre d’emploi créé</w:t>
            </w:r>
          </w:p>
        </w:tc>
        <w:tc>
          <w:tcPr>
            <w:tcW w:w="4390" w:type="dxa"/>
          </w:tcPr>
          <w:p w:rsidR="00D51E49" w:rsidRPr="00F17779" w:rsidRDefault="00D51E49" w:rsidP="00D51E49">
            <w:pPr>
              <w:jc w:val="center"/>
              <w:rPr>
                <w:b/>
                <w:sz w:val="20"/>
                <w:szCs w:val="20"/>
              </w:rPr>
            </w:pPr>
            <w:r w:rsidRPr="00F17779">
              <w:rPr>
                <w:b/>
                <w:sz w:val="20"/>
                <w:szCs w:val="20"/>
              </w:rPr>
              <w:t>Montant</w:t>
            </w:r>
          </w:p>
        </w:tc>
      </w:tr>
      <w:tr w:rsidR="00D51E49" w:rsidRPr="00F17779" w:rsidTr="00D51E49">
        <w:tc>
          <w:tcPr>
            <w:tcW w:w="4390" w:type="dxa"/>
          </w:tcPr>
          <w:p w:rsidR="00D51E49" w:rsidRPr="00F17779" w:rsidRDefault="00D51E49" w:rsidP="00D51E49">
            <w:pPr>
              <w:jc w:val="center"/>
              <w:rPr>
                <w:sz w:val="20"/>
                <w:szCs w:val="20"/>
              </w:rPr>
            </w:pPr>
            <w:r w:rsidRPr="00F17779">
              <w:rPr>
                <w:sz w:val="20"/>
                <w:szCs w:val="20"/>
              </w:rPr>
              <w:t>1 emploi</w:t>
            </w:r>
          </w:p>
        </w:tc>
        <w:tc>
          <w:tcPr>
            <w:tcW w:w="4390" w:type="dxa"/>
          </w:tcPr>
          <w:p w:rsidR="00D51E49" w:rsidRPr="00F17779" w:rsidRDefault="00D51E49" w:rsidP="00D51E49">
            <w:pPr>
              <w:jc w:val="center"/>
              <w:rPr>
                <w:sz w:val="20"/>
                <w:szCs w:val="20"/>
              </w:rPr>
            </w:pPr>
            <w:r w:rsidRPr="00F17779">
              <w:rPr>
                <w:sz w:val="20"/>
                <w:szCs w:val="20"/>
              </w:rPr>
              <w:t>Maximum 15 000 $</w:t>
            </w:r>
          </w:p>
        </w:tc>
      </w:tr>
      <w:tr w:rsidR="00D51E49" w:rsidRPr="00F17779" w:rsidTr="00D51E49">
        <w:tc>
          <w:tcPr>
            <w:tcW w:w="4390" w:type="dxa"/>
          </w:tcPr>
          <w:p w:rsidR="00D51E49" w:rsidRPr="00F17779" w:rsidRDefault="00D51E49" w:rsidP="00D51E49">
            <w:pPr>
              <w:jc w:val="center"/>
              <w:rPr>
                <w:sz w:val="20"/>
                <w:szCs w:val="20"/>
              </w:rPr>
            </w:pPr>
            <w:r w:rsidRPr="00F17779">
              <w:rPr>
                <w:sz w:val="20"/>
                <w:szCs w:val="20"/>
              </w:rPr>
              <w:t>2 emplois</w:t>
            </w:r>
          </w:p>
        </w:tc>
        <w:tc>
          <w:tcPr>
            <w:tcW w:w="4390" w:type="dxa"/>
          </w:tcPr>
          <w:p w:rsidR="00D51E49" w:rsidRPr="00F17779" w:rsidRDefault="00D51E49" w:rsidP="00D51E49">
            <w:pPr>
              <w:jc w:val="center"/>
              <w:rPr>
                <w:sz w:val="20"/>
                <w:szCs w:val="20"/>
              </w:rPr>
            </w:pPr>
            <w:r w:rsidRPr="00F17779">
              <w:rPr>
                <w:sz w:val="20"/>
                <w:szCs w:val="20"/>
              </w:rPr>
              <w:t>Maximum 20 000 $</w:t>
            </w:r>
          </w:p>
        </w:tc>
      </w:tr>
      <w:tr w:rsidR="00D51E49" w:rsidRPr="00F17779" w:rsidTr="00D51E49">
        <w:tc>
          <w:tcPr>
            <w:tcW w:w="4390" w:type="dxa"/>
          </w:tcPr>
          <w:p w:rsidR="00D51E49" w:rsidRPr="00F17779" w:rsidRDefault="00D51E49" w:rsidP="00D51E49">
            <w:pPr>
              <w:jc w:val="center"/>
              <w:rPr>
                <w:sz w:val="20"/>
                <w:szCs w:val="20"/>
              </w:rPr>
            </w:pPr>
            <w:r w:rsidRPr="00F17779">
              <w:rPr>
                <w:sz w:val="20"/>
                <w:szCs w:val="20"/>
              </w:rPr>
              <w:t>3-4 emplois</w:t>
            </w:r>
          </w:p>
        </w:tc>
        <w:tc>
          <w:tcPr>
            <w:tcW w:w="4390" w:type="dxa"/>
          </w:tcPr>
          <w:p w:rsidR="00D51E49" w:rsidRPr="00F17779" w:rsidRDefault="00D51E49" w:rsidP="00D51E49">
            <w:pPr>
              <w:jc w:val="center"/>
              <w:rPr>
                <w:sz w:val="20"/>
                <w:szCs w:val="20"/>
              </w:rPr>
            </w:pPr>
            <w:r w:rsidRPr="00F17779">
              <w:rPr>
                <w:sz w:val="20"/>
                <w:szCs w:val="20"/>
              </w:rPr>
              <w:t>Maximum 30 000 $</w:t>
            </w:r>
          </w:p>
        </w:tc>
      </w:tr>
      <w:tr w:rsidR="00D51E49" w:rsidRPr="00F17779" w:rsidTr="00D51E49">
        <w:tc>
          <w:tcPr>
            <w:tcW w:w="4390" w:type="dxa"/>
          </w:tcPr>
          <w:p w:rsidR="00D51E49" w:rsidRPr="00F17779" w:rsidRDefault="00D51E49" w:rsidP="00D51E49">
            <w:pPr>
              <w:jc w:val="center"/>
              <w:rPr>
                <w:sz w:val="20"/>
                <w:szCs w:val="20"/>
              </w:rPr>
            </w:pPr>
            <w:r w:rsidRPr="00F17779">
              <w:rPr>
                <w:sz w:val="20"/>
                <w:szCs w:val="20"/>
              </w:rPr>
              <w:t>5 emplois et plus</w:t>
            </w:r>
          </w:p>
        </w:tc>
        <w:tc>
          <w:tcPr>
            <w:tcW w:w="4390" w:type="dxa"/>
          </w:tcPr>
          <w:p w:rsidR="00D51E49" w:rsidRPr="00F17779" w:rsidRDefault="00D51E49" w:rsidP="00D51E49">
            <w:pPr>
              <w:jc w:val="center"/>
              <w:rPr>
                <w:sz w:val="20"/>
                <w:szCs w:val="20"/>
              </w:rPr>
            </w:pPr>
            <w:r w:rsidRPr="00F17779">
              <w:rPr>
                <w:sz w:val="20"/>
                <w:szCs w:val="20"/>
              </w:rPr>
              <w:t>Maximum 40 000 $</w:t>
            </w:r>
          </w:p>
        </w:tc>
      </w:tr>
      <w:tr w:rsidR="00D51E49" w:rsidRPr="00F17779" w:rsidTr="00D51E49">
        <w:tc>
          <w:tcPr>
            <w:tcW w:w="4390" w:type="dxa"/>
          </w:tcPr>
          <w:p w:rsidR="00D51E49" w:rsidRPr="00F17779" w:rsidRDefault="00D51E49" w:rsidP="00D51E49">
            <w:pPr>
              <w:jc w:val="center"/>
              <w:rPr>
                <w:sz w:val="20"/>
                <w:szCs w:val="20"/>
              </w:rPr>
            </w:pPr>
            <w:r w:rsidRPr="00F17779">
              <w:rPr>
                <w:sz w:val="20"/>
                <w:szCs w:val="20"/>
              </w:rPr>
              <w:t>10 emploi et plus</w:t>
            </w:r>
          </w:p>
        </w:tc>
        <w:tc>
          <w:tcPr>
            <w:tcW w:w="4390" w:type="dxa"/>
          </w:tcPr>
          <w:p w:rsidR="00D51E49" w:rsidRPr="00F17779" w:rsidRDefault="00D51E49" w:rsidP="00D51E49">
            <w:pPr>
              <w:jc w:val="center"/>
              <w:rPr>
                <w:sz w:val="20"/>
                <w:szCs w:val="20"/>
              </w:rPr>
            </w:pPr>
            <w:r w:rsidRPr="00F17779">
              <w:rPr>
                <w:sz w:val="20"/>
                <w:szCs w:val="20"/>
              </w:rPr>
              <w:t>Maximum 50 000 $</w:t>
            </w:r>
          </w:p>
        </w:tc>
      </w:tr>
      <w:tr w:rsidR="00826EB2" w:rsidRPr="00F17779" w:rsidTr="006450F9">
        <w:tc>
          <w:tcPr>
            <w:tcW w:w="8780" w:type="dxa"/>
            <w:gridSpan w:val="2"/>
            <w:shd w:val="clear" w:color="auto" w:fill="DAEEF3" w:themeFill="accent5" w:themeFillTint="33"/>
          </w:tcPr>
          <w:p w:rsidR="00826EB2" w:rsidRPr="00F17779" w:rsidRDefault="00826EB2" w:rsidP="00826EB2">
            <w:pPr>
              <w:jc w:val="center"/>
              <w:rPr>
                <w:b/>
                <w:sz w:val="20"/>
                <w:szCs w:val="20"/>
              </w:rPr>
            </w:pPr>
            <w:r w:rsidRPr="00F17779">
              <w:rPr>
                <w:b/>
                <w:sz w:val="20"/>
                <w:szCs w:val="20"/>
              </w:rPr>
              <w:t>Modalités</w:t>
            </w:r>
          </w:p>
        </w:tc>
      </w:tr>
      <w:tr w:rsidR="00D51E49" w:rsidRPr="00F17779" w:rsidTr="001B5204">
        <w:tc>
          <w:tcPr>
            <w:tcW w:w="8780" w:type="dxa"/>
            <w:gridSpan w:val="2"/>
          </w:tcPr>
          <w:p w:rsidR="00826EB2" w:rsidRPr="00F17779" w:rsidRDefault="00826EB2" w:rsidP="002F539D">
            <w:pPr>
              <w:pStyle w:val="Paragraphedeliste"/>
              <w:numPr>
                <w:ilvl w:val="0"/>
                <w:numId w:val="5"/>
              </w:numPr>
              <w:spacing w:after="0"/>
              <w:rPr>
                <w:sz w:val="20"/>
                <w:szCs w:val="20"/>
              </w:rPr>
            </w:pPr>
            <w:r w:rsidRPr="00F17779">
              <w:rPr>
                <w:sz w:val="20"/>
                <w:szCs w:val="20"/>
              </w:rPr>
              <w:t xml:space="preserve">Le taux d’intérêt est en moyenne de </w:t>
            </w:r>
            <w:r w:rsidRPr="00F17779">
              <w:rPr>
                <w:b/>
                <w:sz w:val="20"/>
                <w:szCs w:val="20"/>
              </w:rPr>
              <w:t>9,00 %,</w:t>
            </w:r>
            <w:r w:rsidRPr="00F17779">
              <w:rPr>
                <w:sz w:val="20"/>
                <w:szCs w:val="20"/>
              </w:rPr>
              <w:t xml:space="preserve"> il peut varier à la hausse ou à la baisse en fonction du risque et du type de garanti.</w:t>
            </w:r>
          </w:p>
          <w:p w:rsidR="00D51E49" w:rsidRPr="00F17779" w:rsidRDefault="00D51E49" w:rsidP="002F539D">
            <w:pPr>
              <w:pStyle w:val="Paragraphedeliste"/>
              <w:numPr>
                <w:ilvl w:val="0"/>
                <w:numId w:val="5"/>
              </w:numPr>
              <w:spacing w:after="0"/>
              <w:rPr>
                <w:sz w:val="20"/>
                <w:szCs w:val="20"/>
              </w:rPr>
            </w:pPr>
            <w:r w:rsidRPr="00F17779">
              <w:rPr>
                <w:sz w:val="20"/>
                <w:szCs w:val="20"/>
              </w:rPr>
              <w:t xml:space="preserve">Les emplois à temps partiel </w:t>
            </w:r>
            <w:r w:rsidR="00826EB2" w:rsidRPr="00F17779">
              <w:rPr>
                <w:sz w:val="20"/>
                <w:szCs w:val="20"/>
              </w:rPr>
              <w:t xml:space="preserve">(15 heures de travail par semaine) </w:t>
            </w:r>
            <w:r w:rsidRPr="00F17779">
              <w:rPr>
                <w:sz w:val="20"/>
                <w:szCs w:val="20"/>
              </w:rPr>
              <w:t>sont considérés et peuvent être bonifiés de 5 000 $. Le maximum est de 50 000 $.</w:t>
            </w:r>
          </w:p>
        </w:tc>
      </w:tr>
    </w:tbl>
    <w:p w:rsidR="00CE54A1" w:rsidRPr="005010A9" w:rsidRDefault="00CE54A1" w:rsidP="00B41910">
      <w:pPr>
        <w:spacing w:after="0"/>
        <w:rPr>
          <w:sz w:val="16"/>
          <w:szCs w:val="16"/>
        </w:rPr>
      </w:pPr>
    </w:p>
    <w:p w:rsidR="005010A9" w:rsidRPr="005010A9" w:rsidRDefault="005010A9" w:rsidP="00B41910">
      <w:pPr>
        <w:spacing w:after="0"/>
        <w:rPr>
          <w:sz w:val="16"/>
          <w:szCs w:val="16"/>
        </w:rPr>
      </w:pPr>
    </w:p>
    <w:tbl>
      <w:tblPr>
        <w:tblStyle w:val="Grilledutableau"/>
        <w:tblW w:w="0" w:type="auto"/>
        <w:tblLook w:val="04A0" w:firstRow="1" w:lastRow="0" w:firstColumn="1" w:lastColumn="0" w:noHBand="0" w:noVBand="1"/>
      </w:tblPr>
      <w:tblGrid>
        <w:gridCol w:w="4390"/>
        <w:gridCol w:w="4390"/>
      </w:tblGrid>
      <w:tr w:rsidR="00C1682A" w:rsidRPr="00F17779" w:rsidTr="006450F9">
        <w:tc>
          <w:tcPr>
            <w:tcW w:w="8780" w:type="dxa"/>
            <w:gridSpan w:val="2"/>
            <w:shd w:val="clear" w:color="auto" w:fill="DAEEF3" w:themeFill="accent5" w:themeFillTint="33"/>
          </w:tcPr>
          <w:p w:rsidR="00C1682A" w:rsidRPr="00F17779" w:rsidRDefault="00C1682A" w:rsidP="00C1682A">
            <w:pPr>
              <w:jc w:val="center"/>
              <w:rPr>
                <w:b/>
                <w:sz w:val="20"/>
                <w:szCs w:val="20"/>
              </w:rPr>
            </w:pPr>
            <w:r w:rsidRPr="00F17779">
              <w:rPr>
                <w:b/>
                <w:sz w:val="20"/>
                <w:szCs w:val="20"/>
              </w:rPr>
              <w:t>Volet-Expansion/modernisation-acquisition/relève</w:t>
            </w:r>
          </w:p>
        </w:tc>
      </w:tr>
      <w:tr w:rsidR="00C1682A" w:rsidRPr="00F17779" w:rsidTr="009A221C">
        <w:tc>
          <w:tcPr>
            <w:tcW w:w="4390" w:type="dxa"/>
          </w:tcPr>
          <w:p w:rsidR="00C1682A" w:rsidRPr="00F17779" w:rsidRDefault="00C1682A" w:rsidP="009A221C">
            <w:pPr>
              <w:jc w:val="center"/>
              <w:rPr>
                <w:b/>
                <w:sz w:val="20"/>
                <w:szCs w:val="20"/>
              </w:rPr>
            </w:pPr>
            <w:r w:rsidRPr="00F17779">
              <w:rPr>
                <w:b/>
                <w:sz w:val="20"/>
                <w:szCs w:val="20"/>
              </w:rPr>
              <w:t>Nombre d’emploi créé ou maintenu</w:t>
            </w:r>
          </w:p>
        </w:tc>
        <w:tc>
          <w:tcPr>
            <w:tcW w:w="4390" w:type="dxa"/>
          </w:tcPr>
          <w:p w:rsidR="00C1682A" w:rsidRPr="00F17779" w:rsidRDefault="00C1682A" w:rsidP="009A221C">
            <w:pPr>
              <w:jc w:val="center"/>
              <w:rPr>
                <w:b/>
                <w:sz w:val="20"/>
                <w:szCs w:val="20"/>
              </w:rPr>
            </w:pPr>
            <w:r w:rsidRPr="00F17779">
              <w:rPr>
                <w:b/>
                <w:sz w:val="20"/>
                <w:szCs w:val="20"/>
              </w:rPr>
              <w:t>Montant</w:t>
            </w:r>
          </w:p>
        </w:tc>
      </w:tr>
      <w:tr w:rsidR="00C1682A" w:rsidRPr="00F17779" w:rsidTr="009A221C">
        <w:tc>
          <w:tcPr>
            <w:tcW w:w="4390" w:type="dxa"/>
          </w:tcPr>
          <w:p w:rsidR="00C1682A" w:rsidRPr="00F17779" w:rsidRDefault="00C1682A" w:rsidP="009A221C">
            <w:pPr>
              <w:jc w:val="center"/>
              <w:rPr>
                <w:sz w:val="20"/>
                <w:szCs w:val="20"/>
              </w:rPr>
            </w:pPr>
            <w:r w:rsidRPr="00F17779">
              <w:rPr>
                <w:sz w:val="20"/>
                <w:szCs w:val="20"/>
              </w:rPr>
              <w:t>1 emploi</w:t>
            </w:r>
          </w:p>
        </w:tc>
        <w:tc>
          <w:tcPr>
            <w:tcW w:w="4390" w:type="dxa"/>
          </w:tcPr>
          <w:p w:rsidR="00C1682A" w:rsidRPr="00F17779" w:rsidRDefault="00C1682A" w:rsidP="009A221C">
            <w:pPr>
              <w:jc w:val="center"/>
              <w:rPr>
                <w:sz w:val="20"/>
                <w:szCs w:val="20"/>
              </w:rPr>
            </w:pPr>
            <w:r w:rsidRPr="00F17779">
              <w:rPr>
                <w:sz w:val="20"/>
                <w:szCs w:val="20"/>
              </w:rPr>
              <w:t>Maximum 30 000 $</w:t>
            </w:r>
          </w:p>
        </w:tc>
      </w:tr>
      <w:tr w:rsidR="00C1682A" w:rsidRPr="00F17779" w:rsidTr="009A221C">
        <w:tc>
          <w:tcPr>
            <w:tcW w:w="4390" w:type="dxa"/>
          </w:tcPr>
          <w:p w:rsidR="00C1682A" w:rsidRPr="00F17779" w:rsidRDefault="00C1682A" w:rsidP="009A221C">
            <w:pPr>
              <w:jc w:val="center"/>
              <w:rPr>
                <w:sz w:val="20"/>
                <w:szCs w:val="20"/>
              </w:rPr>
            </w:pPr>
            <w:r w:rsidRPr="00F17779">
              <w:rPr>
                <w:sz w:val="20"/>
                <w:szCs w:val="20"/>
              </w:rPr>
              <w:t>2-4 emplois</w:t>
            </w:r>
          </w:p>
        </w:tc>
        <w:tc>
          <w:tcPr>
            <w:tcW w:w="4390" w:type="dxa"/>
          </w:tcPr>
          <w:p w:rsidR="00C1682A" w:rsidRPr="00F17779" w:rsidRDefault="00C1682A" w:rsidP="009A221C">
            <w:pPr>
              <w:jc w:val="center"/>
              <w:rPr>
                <w:sz w:val="20"/>
                <w:szCs w:val="20"/>
              </w:rPr>
            </w:pPr>
            <w:r w:rsidRPr="00F17779">
              <w:rPr>
                <w:sz w:val="20"/>
                <w:szCs w:val="20"/>
              </w:rPr>
              <w:t>Maximum 50 000 $</w:t>
            </w:r>
          </w:p>
        </w:tc>
      </w:tr>
      <w:tr w:rsidR="00C1682A" w:rsidRPr="00F17779" w:rsidTr="009A221C">
        <w:tc>
          <w:tcPr>
            <w:tcW w:w="4390" w:type="dxa"/>
          </w:tcPr>
          <w:p w:rsidR="00C1682A" w:rsidRPr="00F17779" w:rsidRDefault="00C1682A" w:rsidP="009A221C">
            <w:pPr>
              <w:jc w:val="center"/>
              <w:rPr>
                <w:sz w:val="20"/>
                <w:szCs w:val="20"/>
              </w:rPr>
            </w:pPr>
            <w:r w:rsidRPr="00F17779">
              <w:rPr>
                <w:sz w:val="20"/>
                <w:szCs w:val="20"/>
              </w:rPr>
              <w:t>5 emplois et plus</w:t>
            </w:r>
          </w:p>
        </w:tc>
        <w:tc>
          <w:tcPr>
            <w:tcW w:w="4390" w:type="dxa"/>
          </w:tcPr>
          <w:p w:rsidR="00C1682A" w:rsidRPr="00F17779" w:rsidRDefault="00C1682A" w:rsidP="009A221C">
            <w:pPr>
              <w:jc w:val="center"/>
              <w:rPr>
                <w:sz w:val="20"/>
                <w:szCs w:val="20"/>
              </w:rPr>
            </w:pPr>
            <w:r w:rsidRPr="00F17779">
              <w:rPr>
                <w:sz w:val="20"/>
                <w:szCs w:val="20"/>
              </w:rPr>
              <w:t>Maximum 75 000 $</w:t>
            </w:r>
          </w:p>
        </w:tc>
      </w:tr>
      <w:tr w:rsidR="00C1682A" w:rsidRPr="00F17779" w:rsidTr="009A221C">
        <w:tc>
          <w:tcPr>
            <w:tcW w:w="4390" w:type="dxa"/>
          </w:tcPr>
          <w:p w:rsidR="00C1682A" w:rsidRPr="00F17779" w:rsidRDefault="00CE54A1" w:rsidP="009A221C">
            <w:pPr>
              <w:jc w:val="center"/>
              <w:rPr>
                <w:sz w:val="20"/>
                <w:szCs w:val="20"/>
              </w:rPr>
            </w:pPr>
            <w:r w:rsidRPr="00F17779">
              <w:rPr>
                <w:sz w:val="20"/>
                <w:szCs w:val="20"/>
              </w:rPr>
              <w:t>10</w:t>
            </w:r>
            <w:r w:rsidR="00C1682A" w:rsidRPr="00F17779">
              <w:rPr>
                <w:sz w:val="20"/>
                <w:szCs w:val="20"/>
              </w:rPr>
              <w:t xml:space="preserve"> emplois et plus</w:t>
            </w:r>
          </w:p>
        </w:tc>
        <w:tc>
          <w:tcPr>
            <w:tcW w:w="4390" w:type="dxa"/>
          </w:tcPr>
          <w:p w:rsidR="00C1682A" w:rsidRPr="00F17779" w:rsidRDefault="00C1682A" w:rsidP="009A221C">
            <w:pPr>
              <w:jc w:val="center"/>
              <w:rPr>
                <w:sz w:val="20"/>
                <w:szCs w:val="20"/>
              </w:rPr>
            </w:pPr>
            <w:r w:rsidRPr="00F17779">
              <w:rPr>
                <w:sz w:val="20"/>
                <w:szCs w:val="20"/>
              </w:rPr>
              <w:t>Maximum 100 000 $</w:t>
            </w:r>
          </w:p>
        </w:tc>
      </w:tr>
      <w:tr w:rsidR="00C1682A" w:rsidRPr="00F17779" w:rsidTr="009A221C">
        <w:tc>
          <w:tcPr>
            <w:tcW w:w="4390" w:type="dxa"/>
          </w:tcPr>
          <w:p w:rsidR="00C1682A" w:rsidRPr="00F17779" w:rsidRDefault="00CE54A1" w:rsidP="009A221C">
            <w:pPr>
              <w:jc w:val="center"/>
              <w:rPr>
                <w:sz w:val="20"/>
                <w:szCs w:val="20"/>
              </w:rPr>
            </w:pPr>
            <w:r w:rsidRPr="00F17779">
              <w:rPr>
                <w:sz w:val="20"/>
                <w:szCs w:val="20"/>
              </w:rPr>
              <w:t>2</w:t>
            </w:r>
            <w:r w:rsidR="00C1682A" w:rsidRPr="00F17779">
              <w:rPr>
                <w:sz w:val="20"/>
                <w:szCs w:val="20"/>
              </w:rPr>
              <w:t>0 emploi et plus</w:t>
            </w:r>
          </w:p>
        </w:tc>
        <w:tc>
          <w:tcPr>
            <w:tcW w:w="4390" w:type="dxa"/>
          </w:tcPr>
          <w:p w:rsidR="00C1682A" w:rsidRPr="00F17779" w:rsidRDefault="00C1682A" w:rsidP="009A221C">
            <w:pPr>
              <w:jc w:val="center"/>
              <w:rPr>
                <w:sz w:val="20"/>
                <w:szCs w:val="20"/>
              </w:rPr>
            </w:pPr>
            <w:r w:rsidRPr="00F17779">
              <w:rPr>
                <w:sz w:val="20"/>
                <w:szCs w:val="20"/>
              </w:rPr>
              <w:t>Maximum 150 000 $</w:t>
            </w:r>
          </w:p>
        </w:tc>
      </w:tr>
      <w:tr w:rsidR="00F17779" w:rsidRPr="00F17779" w:rsidTr="006450F9">
        <w:tc>
          <w:tcPr>
            <w:tcW w:w="8780" w:type="dxa"/>
            <w:gridSpan w:val="2"/>
            <w:shd w:val="clear" w:color="auto" w:fill="DAEEF3" w:themeFill="accent5" w:themeFillTint="33"/>
          </w:tcPr>
          <w:p w:rsidR="00F17779" w:rsidRPr="00F17779" w:rsidRDefault="00F17779" w:rsidP="00F17779">
            <w:pPr>
              <w:jc w:val="center"/>
              <w:rPr>
                <w:b/>
                <w:sz w:val="20"/>
                <w:szCs w:val="20"/>
              </w:rPr>
            </w:pPr>
            <w:r w:rsidRPr="00F17779">
              <w:rPr>
                <w:b/>
                <w:sz w:val="20"/>
                <w:szCs w:val="20"/>
              </w:rPr>
              <w:t>Modalités</w:t>
            </w:r>
          </w:p>
        </w:tc>
      </w:tr>
      <w:tr w:rsidR="00C1682A" w:rsidRPr="00F17779" w:rsidTr="009A221C">
        <w:tc>
          <w:tcPr>
            <w:tcW w:w="8780" w:type="dxa"/>
            <w:gridSpan w:val="2"/>
          </w:tcPr>
          <w:p w:rsidR="00F17779" w:rsidRPr="002F539D" w:rsidRDefault="00F17779" w:rsidP="002F539D">
            <w:pPr>
              <w:pStyle w:val="Paragraphedeliste"/>
              <w:numPr>
                <w:ilvl w:val="0"/>
                <w:numId w:val="6"/>
              </w:numPr>
              <w:spacing w:after="0"/>
              <w:rPr>
                <w:sz w:val="20"/>
                <w:szCs w:val="20"/>
              </w:rPr>
            </w:pPr>
            <w:r w:rsidRPr="002F539D">
              <w:rPr>
                <w:sz w:val="20"/>
                <w:szCs w:val="20"/>
              </w:rPr>
              <w:t xml:space="preserve">Le taux d’intérêt est en moyenne de </w:t>
            </w:r>
            <w:r w:rsidRPr="002F539D">
              <w:rPr>
                <w:b/>
                <w:sz w:val="20"/>
                <w:szCs w:val="20"/>
              </w:rPr>
              <w:t>7,00 %,</w:t>
            </w:r>
            <w:r w:rsidRPr="002F539D">
              <w:rPr>
                <w:sz w:val="20"/>
                <w:szCs w:val="20"/>
              </w:rPr>
              <w:t xml:space="preserve"> il peut varier à la hausse ou à la baisse en fonction du risque et du type de garanti.</w:t>
            </w:r>
          </w:p>
          <w:p w:rsidR="00C1682A" w:rsidRPr="002F539D" w:rsidRDefault="00C1682A" w:rsidP="002F539D">
            <w:pPr>
              <w:pStyle w:val="Paragraphedeliste"/>
              <w:numPr>
                <w:ilvl w:val="0"/>
                <w:numId w:val="6"/>
              </w:numPr>
              <w:spacing w:after="0"/>
              <w:rPr>
                <w:sz w:val="20"/>
                <w:szCs w:val="20"/>
              </w:rPr>
            </w:pPr>
            <w:r w:rsidRPr="002F539D">
              <w:rPr>
                <w:sz w:val="20"/>
                <w:szCs w:val="20"/>
              </w:rPr>
              <w:t xml:space="preserve">Les emplois à temps partiel </w:t>
            </w:r>
            <w:r w:rsidR="00C27967" w:rsidRPr="002F539D">
              <w:rPr>
                <w:sz w:val="20"/>
                <w:szCs w:val="20"/>
              </w:rPr>
              <w:t xml:space="preserve">(15 heures de travail par semaine) </w:t>
            </w:r>
            <w:r w:rsidRPr="002F539D">
              <w:rPr>
                <w:sz w:val="20"/>
                <w:szCs w:val="20"/>
              </w:rPr>
              <w:t xml:space="preserve">sont considérés et peuvent être bonifiés de 5 000 $. Le maximum est de </w:t>
            </w:r>
            <w:r w:rsidR="00CE54A1" w:rsidRPr="002F539D">
              <w:rPr>
                <w:sz w:val="20"/>
                <w:szCs w:val="20"/>
              </w:rPr>
              <w:t>1</w:t>
            </w:r>
            <w:r w:rsidRPr="002F539D">
              <w:rPr>
                <w:sz w:val="20"/>
                <w:szCs w:val="20"/>
              </w:rPr>
              <w:t>50 000 $.</w:t>
            </w:r>
          </w:p>
        </w:tc>
      </w:tr>
    </w:tbl>
    <w:p w:rsidR="00B41910" w:rsidRPr="005010A9" w:rsidRDefault="00B41910" w:rsidP="00C25CC1">
      <w:pPr>
        <w:spacing w:after="0"/>
        <w:rPr>
          <w:sz w:val="6"/>
          <w:szCs w:val="6"/>
        </w:rPr>
      </w:pPr>
    </w:p>
    <w:p w:rsidR="00B41910" w:rsidRPr="00CE54A1" w:rsidRDefault="00B41910" w:rsidP="00C25CC1">
      <w:pPr>
        <w:spacing w:after="0"/>
        <w:rPr>
          <w:sz w:val="18"/>
          <w:szCs w:val="18"/>
        </w:rPr>
      </w:pPr>
    </w:p>
    <w:sectPr w:rsidR="00B41910" w:rsidRPr="00CE54A1">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2F9" w:rsidRDefault="00C472F9" w:rsidP="00BA6419">
      <w:pPr>
        <w:spacing w:after="0" w:line="240" w:lineRule="auto"/>
      </w:pPr>
      <w:r>
        <w:separator/>
      </w:r>
    </w:p>
  </w:endnote>
  <w:endnote w:type="continuationSeparator" w:id="0">
    <w:p w:rsidR="00C472F9" w:rsidRDefault="00C472F9" w:rsidP="00BA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2F9" w:rsidRDefault="00C472F9" w:rsidP="00BA6419">
      <w:pPr>
        <w:spacing w:after="0" w:line="240" w:lineRule="auto"/>
      </w:pPr>
      <w:r>
        <w:separator/>
      </w:r>
    </w:p>
  </w:footnote>
  <w:footnote w:type="continuationSeparator" w:id="0">
    <w:p w:rsidR="00C472F9" w:rsidRDefault="00C472F9" w:rsidP="00BA6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994"/>
    </w:tblGrid>
    <w:tr w:rsidR="003411E0" w:rsidTr="006630A5">
      <w:trPr>
        <w:trHeight w:val="983"/>
      </w:trPr>
      <w:tc>
        <w:tcPr>
          <w:tcW w:w="4786" w:type="dxa"/>
        </w:tcPr>
        <w:p w:rsidR="003411E0" w:rsidRPr="006630A5" w:rsidRDefault="003411E0" w:rsidP="003411E0">
          <w:pPr>
            <w:pStyle w:val="En-tte"/>
            <w:rPr>
              <w:color w:val="9BBB59" w:themeColor="accent3"/>
              <w:sz w:val="18"/>
              <w:szCs w:val="18"/>
            </w:rPr>
          </w:pPr>
          <w:r w:rsidRPr="006630A5">
            <w:rPr>
              <w:b/>
              <w:bCs/>
              <w:color w:val="76923C" w:themeColor="accent3" w:themeShade="BF"/>
              <w:sz w:val="18"/>
              <w:szCs w:val="18"/>
            </w:rPr>
            <w:t>MRC de Sept-Rivières</w:t>
          </w:r>
        </w:p>
        <w:p w:rsidR="006630A5" w:rsidRPr="006630A5" w:rsidRDefault="005878B0" w:rsidP="003411E0">
          <w:pPr>
            <w:pStyle w:val="En-tte"/>
            <w:rPr>
              <w:b/>
              <w:bCs/>
              <w:color w:val="365F91" w:themeColor="accent1" w:themeShade="BF"/>
              <w:sz w:val="18"/>
              <w:szCs w:val="18"/>
            </w:rPr>
          </w:pPr>
          <w:r>
            <w:rPr>
              <w:b/>
              <w:bCs/>
              <w:color w:val="365F91" w:themeColor="accent1" w:themeShade="BF"/>
              <w:sz w:val="18"/>
              <w:szCs w:val="18"/>
            </w:rPr>
            <w:t xml:space="preserve">T : </w:t>
          </w:r>
          <w:r w:rsidR="003411E0" w:rsidRPr="006630A5">
            <w:rPr>
              <w:b/>
              <w:color w:val="365F91" w:themeColor="accent1" w:themeShade="BF"/>
              <w:sz w:val="18"/>
              <w:szCs w:val="18"/>
            </w:rPr>
            <w:t xml:space="preserve">418 962-1900 | </w:t>
          </w:r>
          <w:r w:rsidR="006630A5" w:rsidRPr="006630A5">
            <w:rPr>
              <w:b/>
              <w:bCs/>
              <w:color w:val="365F91" w:themeColor="accent1" w:themeShade="BF"/>
              <w:sz w:val="18"/>
              <w:szCs w:val="18"/>
            </w:rPr>
            <w:t xml:space="preserve">C : </w:t>
          </w:r>
          <w:hyperlink r:id="rId1" w:history="1">
            <w:r w:rsidR="006630A5" w:rsidRPr="006630A5">
              <w:rPr>
                <w:rStyle w:val="Lienhypertexte"/>
                <w:b/>
                <w:bCs/>
                <w:color w:val="365F91" w:themeColor="accent1" w:themeShade="BF"/>
                <w:sz w:val="18"/>
                <w:szCs w:val="18"/>
              </w:rPr>
              <w:t>luc.morency@mrc.septrivieres.qc.ca</w:t>
            </w:r>
          </w:hyperlink>
          <w:r w:rsidR="006630A5" w:rsidRPr="006630A5">
            <w:rPr>
              <w:b/>
              <w:bCs/>
              <w:color w:val="365F91" w:themeColor="accent1" w:themeShade="BF"/>
              <w:sz w:val="18"/>
              <w:szCs w:val="18"/>
            </w:rPr>
            <w:t xml:space="preserve"> </w:t>
          </w:r>
        </w:p>
        <w:p w:rsidR="003411E0" w:rsidRPr="006630A5" w:rsidRDefault="00C472F9" w:rsidP="003411E0">
          <w:pPr>
            <w:pStyle w:val="En-tte"/>
            <w:rPr>
              <w:b/>
              <w:color w:val="365F91" w:themeColor="accent1" w:themeShade="BF"/>
              <w:sz w:val="18"/>
              <w:szCs w:val="18"/>
            </w:rPr>
          </w:pPr>
          <w:hyperlink r:id="rId2" w:history="1">
            <w:r w:rsidR="003411E0" w:rsidRPr="006630A5">
              <w:rPr>
                <w:rStyle w:val="Lienhypertexte"/>
                <w:b/>
                <w:bCs/>
                <w:color w:val="365F91" w:themeColor="accent1" w:themeShade="BF"/>
                <w:sz w:val="18"/>
                <w:szCs w:val="18"/>
              </w:rPr>
              <w:t>www.mrc.septrivieres.qc.c</w:t>
            </w:r>
          </w:hyperlink>
          <w:r w:rsidR="003411E0" w:rsidRPr="006630A5">
            <w:rPr>
              <w:b/>
              <w:bCs/>
              <w:color w:val="365F91" w:themeColor="accent1" w:themeShade="BF"/>
              <w:sz w:val="18"/>
              <w:szCs w:val="18"/>
            </w:rPr>
            <w:t>a</w:t>
          </w:r>
        </w:p>
        <w:p w:rsidR="003411E0" w:rsidRPr="006630A5" w:rsidRDefault="003411E0">
          <w:pPr>
            <w:pStyle w:val="En-tte"/>
            <w:rPr>
              <w:b/>
            </w:rPr>
          </w:pPr>
          <w:r w:rsidRPr="006630A5">
            <w:rPr>
              <w:b/>
              <w:color w:val="76923C" w:themeColor="accent3" w:themeShade="BF"/>
              <w:sz w:val="18"/>
              <w:szCs w:val="18"/>
            </w:rPr>
            <w:t>Responsable : Luc Morency</w:t>
          </w:r>
        </w:p>
      </w:tc>
      <w:tc>
        <w:tcPr>
          <w:tcW w:w="3994" w:type="dxa"/>
        </w:tcPr>
        <w:p w:rsidR="003411E0" w:rsidRDefault="003411E0">
          <w:pPr>
            <w:pStyle w:val="En-tte"/>
          </w:pPr>
          <w:r w:rsidRPr="003411E0">
            <w:rPr>
              <w:rFonts w:ascii="Arial" w:eastAsia="Times New Roman" w:hAnsi="Arial" w:cs="Arial"/>
              <w:b/>
              <w:bCs/>
              <w:noProof/>
              <w:color w:val="648B25"/>
              <w:sz w:val="18"/>
              <w:szCs w:val="18"/>
              <w:lang w:eastAsia="fr-CA"/>
            </w:rPr>
            <w:drawing>
              <wp:anchor distT="0" distB="0" distL="114300" distR="114300" simplePos="0" relativeHeight="251659264" behindDoc="0" locked="0" layoutInCell="1" allowOverlap="1" wp14:anchorId="4818CA6F" wp14:editId="7A1AE74D">
                <wp:simplePos x="0" y="0"/>
                <wp:positionH relativeFrom="column">
                  <wp:posOffset>1616148</wp:posOffset>
                </wp:positionH>
                <wp:positionV relativeFrom="paragraph">
                  <wp:posOffset>-119938</wp:posOffset>
                </wp:positionV>
                <wp:extent cx="636422" cy="653082"/>
                <wp:effectExtent l="0" t="0" r="0" b="0"/>
                <wp:wrapNone/>
                <wp:docPr id="5" name="Image 5" descr="LOGOMR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RC.BMP"/>
                        <pic:cNvPicPr/>
                      </pic:nvPicPr>
                      <pic:blipFill>
                        <a:blip r:embed="rId3">
                          <a:clrChange>
                            <a:clrFrom>
                              <a:srgbClr val="FFFFFF"/>
                            </a:clrFrom>
                            <a:clrTo>
                              <a:srgbClr val="FFFFFF">
                                <a:alpha val="0"/>
                              </a:srgbClr>
                            </a:clrTo>
                          </a:clrChange>
                        </a:blip>
                        <a:stretch>
                          <a:fillRect/>
                        </a:stretch>
                      </pic:blipFill>
                      <pic:spPr>
                        <a:xfrm>
                          <a:off x="0" y="0"/>
                          <a:ext cx="636422" cy="653082"/>
                        </a:xfrm>
                        <a:prstGeom prst="rect">
                          <a:avLst/>
                        </a:prstGeom>
                      </pic:spPr>
                    </pic:pic>
                  </a:graphicData>
                </a:graphic>
                <wp14:sizeRelH relativeFrom="margin">
                  <wp14:pctWidth>0</wp14:pctWidth>
                </wp14:sizeRelH>
                <wp14:sizeRelV relativeFrom="margin">
                  <wp14:pctHeight>0</wp14:pctHeight>
                </wp14:sizeRelV>
              </wp:anchor>
            </w:drawing>
          </w:r>
        </w:p>
      </w:tc>
    </w:tr>
  </w:tbl>
  <w:p w:rsidR="003411E0" w:rsidRPr="006630A5" w:rsidRDefault="003411E0">
    <w:pPr>
      <w:pStyle w:val="En-tte"/>
      <w:rPr>
        <w:sz w:val="6"/>
        <w:szCs w:val="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982_"/>
      </v:shape>
    </w:pict>
  </w:numPicBullet>
  <w:abstractNum w:abstractNumId="0" w15:restartNumberingAfterBreak="0">
    <w:nsid w:val="0FF55B44"/>
    <w:multiLevelType w:val="hybridMultilevel"/>
    <w:tmpl w:val="128CCEF0"/>
    <w:lvl w:ilvl="0" w:tplc="5B8EBFD8">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0C56207"/>
    <w:multiLevelType w:val="multilevel"/>
    <w:tmpl w:val="02BC5A34"/>
    <w:lvl w:ilvl="0">
      <w:start w:val="3"/>
      <w:numFmt w:val="decimal"/>
      <w:lvlText w:val="%1"/>
      <w:lvlJc w:val="left"/>
      <w:pPr>
        <w:ind w:left="435" w:hanging="435"/>
      </w:pPr>
      <w:rPr>
        <w:rFonts w:hint="default"/>
      </w:rPr>
    </w:lvl>
    <w:lvl w:ilvl="1">
      <w:start w:val="4"/>
      <w:numFmt w:val="decimal"/>
      <w:lvlText w:val="%1.%2"/>
      <w:lvlJc w:val="left"/>
      <w:pPr>
        <w:ind w:left="1073" w:hanging="435"/>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 w15:restartNumberingAfterBreak="0">
    <w:nsid w:val="2DE31420"/>
    <w:multiLevelType w:val="hybridMultilevel"/>
    <w:tmpl w:val="6B5C3758"/>
    <w:lvl w:ilvl="0" w:tplc="5B8EBFD8">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FF30E37"/>
    <w:multiLevelType w:val="multilevel"/>
    <w:tmpl w:val="031CAD5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E5770C"/>
    <w:multiLevelType w:val="hybridMultilevel"/>
    <w:tmpl w:val="CDB41E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FA93F7C"/>
    <w:multiLevelType w:val="multilevel"/>
    <w:tmpl w:val="61DC8CCA"/>
    <w:lvl w:ilvl="0">
      <w:start w:val="2"/>
      <w:numFmt w:val="decimal"/>
      <w:lvlText w:val="%1"/>
      <w:lvlJc w:val="left"/>
      <w:pPr>
        <w:ind w:left="390" w:hanging="390"/>
      </w:pPr>
      <w:rPr>
        <w:rFonts w:hint="default"/>
      </w:rPr>
    </w:lvl>
    <w:lvl w:ilvl="1">
      <w:start w:val="4"/>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96"/>
    <w:rsid w:val="000B20C2"/>
    <w:rsid w:val="00142B8E"/>
    <w:rsid w:val="0015503E"/>
    <w:rsid w:val="001C53A5"/>
    <w:rsid w:val="001D6D4D"/>
    <w:rsid w:val="002A3777"/>
    <w:rsid w:val="002F539D"/>
    <w:rsid w:val="003411E0"/>
    <w:rsid w:val="005010A9"/>
    <w:rsid w:val="005878B0"/>
    <w:rsid w:val="006450F9"/>
    <w:rsid w:val="006630A5"/>
    <w:rsid w:val="00734342"/>
    <w:rsid w:val="00826EB2"/>
    <w:rsid w:val="00926C53"/>
    <w:rsid w:val="00991610"/>
    <w:rsid w:val="00AD14C2"/>
    <w:rsid w:val="00AD6854"/>
    <w:rsid w:val="00B41910"/>
    <w:rsid w:val="00B84996"/>
    <w:rsid w:val="00BA6419"/>
    <w:rsid w:val="00BF71E1"/>
    <w:rsid w:val="00C1682A"/>
    <w:rsid w:val="00C25CC1"/>
    <w:rsid w:val="00C27967"/>
    <w:rsid w:val="00C472F9"/>
    <w:rsid w:val="00CE54A1"/>
    <w:rsid w:val="00D51E49"/>
    <w:rsid w:val="00F17779"/>
    <w:rsid w:val="00FD3C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A1F855-19C2-45CC-92DC-CD855789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3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8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84996"/>
    <w:pPr>
      <w:spacing w:before="120" w:after="120" w:line="240" w:lineRule="auto"/>
      <w:ind w:left="720"/>
      <w:contextualSpacing/>
      <w:jc w:val="both"/>
    </w:pPr>
  </w:style>
  <w:style w:type="paragraph" w:styleId="En-tte">
    <w:name w:val="header"/>
    <w:basedOn w:val="Normal"/>
    <w:link w:val="En-tteCar"/>
    <w:uiPriority w:val="99"/>
    <w:unhideWhenUsed/>
    <w:rsid w:val="00BA6419"/>
    <w:pPr>
      <w:tabs>
        <w:tab w:val="center" w:pos="4320"/>
        <w:tab w:val="right" w:pos="8640"/>
      </w:tabs>
      <w:spacing w:after="0" w:line="240" w:lineRule="auto"/>
    </w:pPr>
  </w:style>
  <w:style w:type="character" w:customStyle="1" w:styleId="En-tteCar">
    <w:name w:val="En-tête Car"/>
    <w:basedOn w:val="Policepardfaut"/>
    <w:link w:val="En-tte"/>
    <w:uiPriority w:val="99"/>
    <w:rsid w:val="00BA6419"/>
  </w:style>
  <w:style w:type="paragraph" w:styleId="Pieddepage">
    <w:name w:val="footer"/>
    <w:basedOn w:val="Normal"/>
    <w:link w:val="PieddepageCar"/>
    <w:uiPriority w:val="99"/>
    <w:unhideWhenUsed/>
    <w:rsid w:val="00BA641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A6419"/>
  </w:style>
  <w:style w:type="table" w:customStyle="1" w:styleId="Grilledutableau1">
    <w:name w:val="Grille du tableau1"/>
    <w:basedOn w:val="TableauNormal"/>
    <w:next w:val="Grilledutableau"/>
    <w:uiPriority w:val="59"/>
    <w:rsid w:val="00B41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E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E54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54A1"/>
    <w:rPr>
      <w:rFonts w:ascii="Tahoma" w:hAnsi="Tahoma" w:cs="Tahoma"/>
      <w:sz w:val="16"/>
      <w:szCs w:val="16"/>
    </w:rPr>
  </w:style>
  <w:style w:type="character" w:styleId="Lienhypertexte">
    <w:name w:val="Hyperlink"/>
    <w:basedOn w:val="Policepardfaut"/>
    <w:uiPriority w:val="99"/>
    <w:unhideWhenUsed/>
    <w:rsid w:val="003411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rc.septrivieres.qc.ca/" TargetMode="External"/><Relationship Id="rId1" Type="http://schemas.openxmlformats.org/officeDocument/2006/relationships/hyperlink" Target="mailto:luc.morency@mrc.septrivieres.qc.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3712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Morency</dc:creator>
  <cp:lastModifiedBy>Véronique Bernatchez</cp:lastModifiedBy>
  <cp:revision>3</cp:revision>
  <cp:lastPrinted>2016-12-21T16:13:00Z</cp:lastPrinted>
  <dcterms:created xsi:type="dcterms:W3CDTF">2017-03-28T17:40:00Z</dcterms:created>
  <dcterms:modified xsi:type="dcterms:W3CDTF">2017-03-28T17:40:00Z</dcterms:modified>
</cp:coreProperties>
</file>